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AA690" w14:textId="77777777" w:rsidR="005932AF" w:rsidRPr="005932AF" w:rsidRDefault="005932AF" w:rsidP="005932AF">
      <w:pPr>
        <w:spacing w:before="240" w:line="276" w:lineRule="auto"/>
        <w:rPr>
          <w:rFonts w:cstheme="minorHAnsi"/>
          <w:b/>
          <w:bCs/>
        </w:rPr>
      </w:pPr>
      <w:r w:rsidRPr="005932AF">
        <w:rPr>
          <w:rFonts w:cstheme="minorHAnsi"/>
          <w:b/>
          <w:bCs/>
        </w:rPr>
        <w:t>ALLEGATO 1</w:t>
      </w:r>
    </w:p>
    <w:p w14:paraId="07C49711" w14:textId="77777777" w:rsidR="003B6B97" w:rsidRPr="009939C6" w:rsidRDefault="001C075D" w:rsidP="000F7706">
      <w:pPr>
        <w:spacing w:before="240" w:line="276" w:lineRule="auto"/>
        <w:jc w:val="center"/>
        <w:rPr>
          <w:rFonts w:cstheme="minorHAnsi"/>
          <w:b/>
          <w:bCs/>
        </w:rPr>
      </w:pPr>
      <w:r w:rsidRPr="009939C6">
        <w:rPr>
          <w:rFonts w:cstheme="minorHAnsi"/>
          <w:b/>
          <w:bCs/>
        </w:rPr>
        <w:t>PROTOCOLLO DI GESTIONE DOMICILIARE DEI PAZIENTI COVID-19 POSITIVI O SOSPETTI</w:t>
      </w:r>
    </w:p>
    <w:p w14:paraId="1BE415DC" w14:textId="77777777" w:rsidR="001C075D" w:rsidRPr="009939C6" w:rsidRDefault="001C075D" w:rsidP="000F7706">
      <w:pPr>
        <w:pStyle w:val="Paragrafoelenco"/>
        <w:numPr>
          <w:ilvl w:val="0"/>
          <w:numId w:val="7"/>
        </w:numPr>
        <w:spacing w:before="240" w:line="276" w:lineRule="auto"/>
        <w:ind w:left="284" w:hanging="284"/>
        <w:jc w:val="both"/>
        <w:rPr>
          <w:rFonts w:cstheme="minorHAnsi"/>
          <w:b/>
          <w:bCs/>
          <w:u w:val="single"/>
        </w:rPr>
      </w:pPr>
      <w:r w:rsidRPr="009939C6">
        <w:rPr>
          <w:rFonts w:cstheme="minorHAnsi"/>
          <w:b/>
          <w:bCs/>
          <w:u w:val="single"/>
        </w:rPr>
        <w:t>Razionale</w:t>
      </w:r>
    </w:p>
    <w:p w14:paraId="1827529F" w14:textId="77777777" w:rsidR="00812399" w:rsidRPr="009939C6" w:rsidRDefault="00812399" w:rsidP="000F7706">
      <w:pPr>
        <w:spacing w:before="240" w:line="276" w:lineRule="auto"/>
        <w:jc w:val="both"/>
        <w:rPr>
          <w:rFonts w:cstheme="minorHAnsi"/>
        </w:rPr>
      </w:pPr>
      <w:r w:rsidRPr="009939C6">
        <w:rPr>
          <w:rFonts w:cstheme="minorHAnsi"/>
        </w:rPr>
        <w:t>Gestire sul territorio, tramite le Unità Speciali di Continuità Assistenziale (U.S.C.A.), i pazienti con Covid-19 accertato o con sintomatologia fortemente sospetta per tale patologia, con i seguenti obiettivi:</w:t>
      </w:r>
    </w:p>
    <w:p w14:paraId="37994BFE" w14:textId="77777777" w:rsidR="00812399" w:rsidRPr="009939C6" w:rsidRDefault="00812399" w:rsidP="000F7706">
      <w:pPr>
        <w:pStyle w:val="Paragrafoelenco"/>
        <w:numPr>
          <w:ilvl w:val="0"/>
          <w:numId w:val="1"/>
        </w:numPr>
        <w:spacing w:before="240" w:line="276" w:lineRule="auto"/>
        <w:jc w:val="both"/>
        <w:rPr>
          <w:rFonts w:cstheme="minorHAnsi"/>
        </w:rPr>
      </w:pPr>
      <w:r w:rsidRPr="009939C6">
        <w:rPr>
          <w:rFonts w:cstheme="minorHAnsi"/>
        </w:rPr>
        <w:t>Prevenire le ospedalizzazioni non necessarie, evitando il sovraccarico dei servizi ospedalieri di Pronto Soccorso e di ricovero dei pazienti per i quali si può prevedere una gestione clinico – assistenziale al domicilio;</w:t>
      </w:r>
    </w:p>
    <w:p w14:paraId="0F052BE3" w14:textId="77777777" w:rsidR="00812399" w:rsidRPr="009939C6" w:rsidRDefault="00812399" w:rsidP="000F7706">
      <w:pPr>
        <w:pStyle w:val="Paragrafoelenco"/>
        <w:numPr>
          <w:ilvl w:val="0"/>
          <w:numId w:val="1"/>
        </w:numPr>
        <w:spacing w:before="240" w:line="276" w:lineRule="auto"/>
        <w:jc w:val="both"/>
        <w:rPr>
          <w:rFonts w:cstheme="minorHAnsi"/>
        </w:rPr>
      </w:pPr>
      <w:r w:rsidRPr="009939C6">
        <w:rPr>
          <w:rFonts w:cstheme="minorHAnsi"/>
        </w:rPr>
        <w:t>Monitorare nel tempo i pazienti, indicando il ricovero solo per coloro che vanno incontro ad un peggioramento della sintomatologia che richiede una gestione ospedaliera;</w:t>
      </w:r>
    </w:p>
    <w:p w14:paraId="54716A6C" w14:textId="77777777" w:rsidR="00812399" w:rsidRPr="009939C6" w:rsidRDefault="00812399" w:rsidP="000F7706">
      <w:pPr>
        <w:pStyle w:val="Paragrafoelenco"/>
        <w:numPr>
          <w:ilvl w:val="0"/>
          <w:numId w:val="1"/>
        </w:numPr>
        <w:spacing w:before="240" w:line="276" w:lineRule="auto"/>
        <w:jc w:val="both"/>
        <w:rPr>
          <w:rFonts w:cstheme="minorHAnsi"/>
        </w:rPr>
      </w:pPr>
      <w:r w:rsidRPr="009939C6">
        <w:rPr>
          <w:rFonts w:cstheme="minorHAnsi"/>
        </w:rPr>
        <w:t>Provvedere alla gestione clinica dei pazienti Covid-19 positivi dopo la dimissione dai reparti ospedalieri.</w:t>
      </w:r>
    </w:p>
    <w:p w14:paraId="1E0C8B9A" w14:textId="77777777" w:rsidR="00967226" w:rsidRPr="009939C6" w:rsidRDefault="00DB21A4" w:rsidP="000F7706">
      <w:pPr>
        <w:spacing w:before="240" w:line="276" w:lineRule="auto"/>
        <w:jc w:val="both"/>
        <w:rPr>
          <w:rFonts w:cstheme="minorHAnsi"/>
          <w:b/>
          <w:bCs/>
          <w:u w:val="single"/>
        </w:rPr>
      </w:pPr>
      <w:r w:rsidRPr="009939C6">
        <w:rPr>
          <w:rFonts w:cstheme="minorHAnsi"/>
          <w:b/>
          <w:bCs/>
        </w:rPr>
        <w:t>2.</w:t>
      </w:r>
      <w:r w:rsidR="00162947" w:rsidRPr="009939C6">
        <w:rPr>
          <w:rFonts w:cstheme="minorHAnsi"/>
          <w:b/>
          <w:bCs/>
        </w:rPr>
        <w:t xml:space="preserve"> </w:t>
      </w:r>
      <w:r w:rsidR="00655DE0" w:rsidRPr="009939C6">
        <w:rPr>
          <w:rFonts w:cstheme="minorHAnsi"/>
          <w:b/>
          <w:bCs/>
          <w:u w:val="single"/>
        </w:rPr>
        <w:t>Attivazione servizio USCA</w:t>
      </w:r>
      <w:r w:rsidR="00967226" w:rsidRPr="009939C6">
        <w:rPr>
          <w:rFonts w:cstheme="minorHAnsi"/>
          <w:b/>
          <w:bCs/>
          <w:u w:val="single"/>
        </w:rPr>
        <w:t xml:space="preserve"> da parte dei Medici di Medicina Generale</w:t>
      </w:r>
    </w:p>
    <w:p w14:paraId="625448AB" w14:textId="77777777" w:rsidR="00BD3CD9" w:rsidRPr="009939C6" w:rsidRDefault="00967226" w:rsidP="000F7706">
      <w:pPr>
        <w:spacing w:before="240" w:line="276" w:lineRule="auto"/>
        <w:jc w:val="both"/>
        <w:rPr>
          <w:rFonts w:cstheme="minorHAnsi"/>
        </w:rPr>
      </w:pPr>
      <w:r w:rsidRPr="009939C6">
        <w:rPr>
          <w:rFonts w:cstheme="minorHAnsi"/>
        </w:rPr>
        <w:t>I Medici di Medicina General</w:t>
      </w:r>
      <w:r w:rsidR="00E2499B" w:rsidRPr="009939C6">
        <w:rPr>
          <w:rFonts w:cstheme="minorHAnsi"/>
        </w:rPr>
        <w:t>e potranno attivare il medico USCA</w:t>
      </w:r>
      <w:r w:rsidRPr="009939C6">
        <w:rPr>
          <w:rFonts w:cstheme="minorHAnsi"/>
        </w:rPr>
        <w:t xml:space="preserve"> mediante compilazione di apposita scheda di attivazione </w:t>
      </w:r>
      <w:r w:rsidR="00B61EA6" w:rsidRPr="009939C6">
        <w:rPr>
          <w:rFonts w:cstheme="minorHAnsi"/>
        </w:rPr>
        <w:t>del servizio, inviata</w:t>
      </w:r>
      <w:r w:rsidR="00E2499B" w:rsidRPr="009939C6">
        <w:rPr>
          <w:rFonts w:cstheme="minorHAnsi"/>
        </w:rPr>
        <w:t>, a seconda del proprio Distretto,</w:t>
      </w:r>
      <w:r w:rsidRPr="009939C6">
        <w:rPr>
          <w:rFonts w:cstheme="minorHAnsi"/>
        </w:rPr>
        <w:t xml:space="preserve"> all’indirizzo mail </w:t>
      </w:r>
      <w:hyperlink r:id="rId8" w:history="1">
        <w:r w:rsidR="00E2499B" w:rsidRPr="009939C6">
          <w:rPr>
            <w:rStyle w:val="Collegamentoipertestuale"/>
            <w:rFonts w:cstheme="minorHAnsi"/>
          </w:rPr>
          <w:t>uscanordest@aslcn1.it</w:t>
        </w:r>
      </w:hyperlink>
      <w:r w:rsidR="00B61EA6" w:rsidRPr="009939C6">
        <w:rPr>
          <w:rStyle w:val="Collegamentoipertestuale"/>
          <w:rFonts w:cstheme="minorHAnsi"/>
          <w:u w:val="none"/>
        </w:rPr>
        <w:t xml:space="preserve"> </w:t>
      </w:r>
      <w:r w:rsidR="00B61EA6" w:rsidRPr="009939C6">
        <w:rPr>
          <w:rStyle w:val="Collegamentoipertestuale"/>
          <w:rFonts w:cstheme="minorHAnsi"/>
          <w:color w:val="auto"/>
          <w:u w:val="none"/>
        </w:rPr>
        <w:t>o</w:t>
      </w:r>
      <w:r w:rsidR="00E2499B" w:rsidRPr="009939C6">
        <w:rPr>
          <w:rStyle w:val="Collegamentoipertestuale"/>
          <w:rFonts w:cstheme="minorHAnsi"/>
          <w:u w:val="none"/>
        </w:rPr>
        <w:t xml:space="preserve"> </w:t>
      </w:r>
      <w:hyperlink r:id="rId9" w:history="1">
        <w:r w:rsidR="00E2499B" w:rsidRPr="009939C6">
          <w:rPr>
            <w:rStyle w:val="Collegamentoipertestuale"/>
            <w:rFonts w:cstheme="minorHAnsi"/>
          </w:rPr>
          <w:t>uscanordovest@aslcn1.it</w:t>
        </w:r>
      </w:hyperlink>
      <w:r w:rsidR="00B61EA6" w:rsidRPr="009939C6">
        <w:rPr>
          <w:rStyle w:val="Collegamentoipertestuale"/>
          <w:rFonts w:cstheme="minorHAnsi"/>
          <w:color w:val="auto"/>
          <w:u w:val="none"/>
        </w:rPr>
        <w:t xml:space="preserve"> o</w:t>
      </w:r>
      <w:r w:rsidR="00E2499B" w:rsidRPr="009939C6">
        <w:rPr>
          <w:rStyle w:val="Collegamentoipertestuale"/>
          <w:rFonts w:cstheme="minorHAnsi"/>
          <w:color w:val="auto"/>
          <w:u w:val="none"/>
        </w:rPr>
        <w:t xml:space="preserve"> </w:t>
      </w:r>
      <w:hyperlink r:id="rId10" w:history="1">
        <w:r w:rsidR="00E2499B" w:rsidRPr="009939C6">
          <w:rPr>
            <w:rStyle w:val="Collegamentoipertestuale"/>
            <w:rFonts w:cstheme="minorHAnsi"/>
          </w:rPr>
          <w:t>uscasudovest@aslcn1.it</w:t>
        </w:r>
      </w:hyperlink>
      <w:r w:rsidR="00B61EA6" w:rsidRPr="009939C6">
        <w:rPr>
          <w:rStyle w:val="Collegamentoipertestuale"/>
          <w:rFonts w:cstheme="minorHAnsi"/>
          <w:u w:val="none"/>
        </w:rPr>
        <w:t xml:space="preserve"> </w:t>
      </w:r>
      <w:r w:rsidR="00B61EA6" w:rsidRPr="009939C6">
        <w:rPr>
          <w:rStyle w:val="Collegamentoipertestuale"/>
          <w:rFonts w:cstheme="minorHAnsi"/>
          <w:color w:val="auto"/>
          <w:u w:val="none"/>
        </w:rPr>
        <w:t>o</w:t>
      </w:r>
      <w:r w:rsidR="00B61EA6" w:rsidRPr="009939C6">
        <w:rPr>
          <w:rStyle w:val="Collegamentoipertestuale"/>
          <w:rFonts w:cstheme="minorHAnsi"/>
          <w:u w:val="none"/>
        </w:rPr>
        <w:t xml:space="preserve"> </w:t>
      </w:r>
      <w:r w:rsidR="00E2499B" w:rsidRPr="009939C6">
        <w:rPr>
          <w:rStyle w:val="Collegamentoipertestuale"/>
          <w:rFonts w:cstheme="minorHAnsi"/>
        </w:rPr>
        <w:t>uscasudest@aslcn1.it</w:t>
      </w:r>
      <w:r w:rsidR="00BD3CD9" w:rsidRPr="009939C6">
        <w:rPr>
          <w:rFonts w:cstheme="minorHAnsi"/>
        </w:rPr>
        <w:t xml:space="preserve">. </w:t>
      </w:r>
    </w:p>
    <w:p w14:paraId="5674AB07" w14:textId="77777777" w:rsidR="00967226" w:rsidRPr="009939C6" w:rsidRDefault="00BD3CD9" w:rsidP="000F7706">
      <w:pPr>
        <w:spacing w:before="240" w:line="276" w:lineRule="auto"/>
        <w:jc w:val="both"/>
        <w:rPr>
          <w:rFonts w:cstheme="minorHAnsi"/>
        </w:rPr>
      </w:pPr>
      <w:r w:rsidRPr="009939C6">
        <w:rPr>
          <w:rFonts w:cstheme="minorHAnsi"/>
        </w:rPr>
        <w:t>Si ritiene opportuno fornire criteri suggestivi per indentificare pazienti con sintomatologia sospett</w:t>
      </w:r>
      <w:r w:rsidR="0025588F" w:rsidRPr="009939C6">
        <w:rPr>
          <w:rFonts w:cstheme="minorHAnsi"/>
        </w:rPr>
        <w:t>a per Covid</w:t>
      </w:r>
      <w:r w:rsidRPr="009939C6">
        <w:rPr>
          <w:rFonts w:cstheme="minorHAnsi"/>
        </w:rPr>
        <w:t xml:space="preserve">-19 </w:t>
      </w:r>
      <w:r w:rsidRPr="009939C6">
        <w:rPr>
          <w:rFonts w:cstheme="minorHAnsi"/>
          <w:u w:val="single"/>
        </w:rPr>
        <w:t>a maggior rischio d</w:t>
      </w:r>
      <w:r w:rsidR="0025588F" w:rsidRPr="009939C6">
        <w:rPr>
          <w:rFonts w:cstheme="minorHAnsi"/>
          <w:u w:val="single"/>
        </w:rPr>
        <w:t>i evoluzione clinica sfavorevole</w:t>
      </w:r>
      <w:r w:rsidR="0025588F" w:rsidRPr="009939C6">
        <w:rPr>
          <w:rFonts w:cstheme="minorHAnsi"/>
        </w:rPr>
        <w:t xml:space="preserve"> (</w:t>
      </w:r>
      <w:r w:rsidR="009E6AC2" w:rsidRPr="009939C6">
        <w:rPr>
          <w:rFonts w:cstheme="minorHAnsi"/>
        </w:rPr>
        <w:t xml:space="preserve">è sufficiente </w:t>
      </w:r>
      <w:proofErr w:type="spellStart"/>
      <w:r w:rsidR="009E6AC2" w:rsidRPr="009939C6">
        <w:rPr>
          <w:rFonts w:cstheme="minorHAnsi"/>
        </w:rPr>
        <w:t>crocettare</w:t>
      </w:r>
      <w:proofErr w:type="spellEnd"/>
      <w:r w:rsidR="009E6AC2" w:rsidRPr="009939C6">
        <w:rPr>
          <w:rFonts w:cstheme="minorHAnsi"/>
        </w:rPr>
        <w:t xml:space="preserve"> anche</w:t>
      </w:r>
      <w:r w:rsidR="0025588F" w:rsidRPr="009939C6">
        <w:rPr>
          <w:rFonts w:cstheme="minorHAnsi"/>
        </w:rPr>
        <w:t xml:space="preserve"> solo uno dei seguenti criteri):</w:t>
      </w:r>
    </w:p>
    <w:p w14:paraId="54D1FC64" w14:textId="77777777" w:rsidR="00BD3CD9" w:rsidRPr="009939C6" w:rsidRDefault="00BD3CD9" w:rsidP="000F7706">
      <w:pPr>
        <w:pStyle w:val="Paragrafoelenco"/>
        <w:numPr>
          <w:ilvl w:val="0"/>
          <w:numId w:val="9"/>
        </w:numPr>
        <w:spacing w:before="240" w:line="276" w:lineRule="auto"/>
        <w:jc w:val="both"/>
        <w:rPr>
          <w:rFonts w:cstheme="minorHAnsi"/>
        </w:rPr>
      </w:pPr>
      <w:r w:rsidRPr="009939C6">
        <w:rPr>
          <w:rFonts w:cstheme="minorHAnsi"/>
        </w:rPr>
        <w:t xml:space="preserve">Temperatura </w:t>
      </w:r>
      <w:r w:rsidR="0025588F" w:rsidRPr="009939C6">
        <w:rPr>
          <w:rFonts w:cstheme="minorHAnsi"/>
        </w:rPr>
        <w:t>≥</w:t>
      </w:r>
      <w:r w:rsidRPr="009939C6">
        <w:rPr>
          <w:rFonts w:cstheme="minorHAnsi"/>
        </w:rPr>
        <w:t xml:space="preserve"> 37,5° &gt;</w:t>
      </w:r>
      <w:r w:rsidR="00E2499B" w:rsidRPr="009939C6">
        <w:rPr>
          <w:rFonts w:cstheme="minorHAnsi"/>
        </w:rPr>
        <w:t xml:space="preserve"> 4 giorni</w:t>
      </w:r>
      <w:r w:rsidRPr="009939C6">
        <w:rPr>
          <w:rFonts w:cstheme="minorHAnsi"/>
        </w:rPr>
        <w:t xml:space="preserve"> </w:t>
      </w:r>
      <w:r w:rsidR="0025588F" w:rsidRPr="009939C6">
        <w:rPr>
          <w:rFonts w:cstheme="minorHAnsi"/>
        </w:rPr>
        <w:t>e/o s</w:t>
      </w:r>
      <w:r w:rsidRPr="009939C6">
        <w:rPr>
          <w:rFonts w:cstheme="minorHAnsi"/>
        </w:rPr>
        <w:t>intomatologia ILI* persistente &gt;</w:t>
      </w:r>
      <w:r w:rsidR="00E2499B" w:rsidRPr="009939C6">
        <w:rPr>
          <w:rFonts w:cstheme="minorHAnsi"/>
        </w:rPr>
        <w:t xml:space="preserve"> 4 giorni</w:t>
      </w:r>
      <w:r w:rsidR="009E6AC2" w:rsidRPr="009939C6">
        <w:rPr>
          <w:rFonts w:cstheme="minorHAnsi"/>
        </w:rPr>
        <w:t>;</w:t>
      </w:r>
    </w:p>
    <w:p w14:paraId="16CC61CC" w14:textId="77777777" w:rsidR="005115E6" w:rsidRPr="005115E6" w:rsidRDefault="0025588F" w:rsidP="000F7706">
      <w:pPr>
        <w:pStyle w:val="Paragrafoelenco"/>
        <w:numPr>
          <w:ilvl w:val="0"/>
          <w:numId w:val="9"/>
        </w:numPr>
        <w:spacing w:before="240" w:line="276" w:lineRule="auto"/>
        <w:jc w:val="both"/>
        <w:rPr>
          <w:rFonts w:cstheme="minorHAnsi"/>
        </w:rPr>
      </w:pPr>
      <w:r w:rsidRPr="009939C6">
        <w:rPr>
          <w:rFonts w:cstheme="minorHAnsi"/>
        </w:rPr>
        <w:t xml:space="preserve">Temperatura ≥ 37,5° e/o sintomatologia ILI persistente </w:t>
      </w:r>
      <w:r w:rsidR="00E2499B" w:rsidRPr="009939C6">
        <w:rPr>
          <w:rFonts w:cstheme="minorHAnsi"/>
        </w:rPr>
        <w:t>&lt; 4 giorni</w:t>
      </w:r>
      <w:r w:rsidRPr="009939C6">
        <w:rPr>
          <w:rFonts w:cstheme="minorHAnsi"/>
        </w:rPr>
        <w:t>, se pz con comorbidità (es. d</w:t>
      </w:r>
      <w:r w:rsidR="00BD3CD9" w:rsidRPr="009939C6">
        <w:rPr>
          <w:rFonts w:cstheme="minorHAnsi"/>
        </w:rPr>
        <w:t>iabete, patologie cardiovascolari, IRC, BPCO</w:t>
      </w:r>
      <w:r w:rsidR="00261DD6">
        <w:rPr>
          <w:rFonts w:cstheme="minorHAnsi"/>
        </w:rPr>
        <w:t>.</w:t>
      </w:r>
      <w:r w:rsidRPr="009939C6">
        <w:rPr>
          <w:rFonts w:cstheme="minorHAnsi"/>
        </w:rPr>
        <w:t>..)</w:t>
      </w:r>
      <w:r w:rsidR="009E6AC2" w:rsidRPr="009939C6">
        <w:rPr>
          <w:rFonts w:cstheme="minorHAnsi"/>
        </w:rPr>
        <w:t>;</w:t>
      </w:r>
    </w:p>
    <w:p w14:paraId="39D07DF1" w14:textId="77777777" w:rsidR="00D164D5" w:rsidRPr="009939C6" w:rsidRDefault="0025588F" w:rsidP="000F7706">
      <w:pPr>
        <w:pStyle w:val="Paragrafoelenco"/>
        <w:numPr>
          <w:ilvl w:val="0"/>
          <w:numId w:val="9"/>
        </w:numPr>
        <w:spacing w:before="240" w:line="276" w:lineRule="auto"/>
        <w:jc w:val="both"/>
        <w:rPr>
          <w:rFonts w:cstheme="minorHAnsi"/>
        </w:rPr>
      </w:pPr>
      <w:r w:rsidRPr="009939C6">
        <w:rPr>
          <w:rFonts w:cstheme="minorHAnsi"/>
        </w:rPr>
        <w:t>P</w:t>
      </w:r>
      <w:r w:rsidR="00EB6F02" w:rsidRPr="009939C6">
        <w:rPr>
          <w:rFonts w:cstheme="minorHAnsi"/>
        </w:rPr>
        <w:t>aziente con insufficienza respir</w:t>
      </w:r>
      <w:r w:rsidR="009E6AC2" w:rsidRPr="009939C6">
        <w:rPr>
          <w:rFonts w:cstheme="minorHAnsi"/>
        </w:rPr>
        <w:t>atoria ad insorgenza improvvisa.</w:t>
      </w:r>
    </w:p>
    <w:p w14:paraId="0E7C4E30" w14:textId="77777777" w:rsidR="00BD3CD9" w:rsidRPr="009939C6" w:rsidRDefault="00BD3CD9" w:rsidP="000F7706">
      <w:pPr>
        <w:spacing w:before="240" w:line="276" w:lineRule="auto"/>
        <w:jc w:val="both"/>
        <w:rPr>
          <w:rFonts w:cstheme="minorHAnsi"/>
        </w:rPr>
      </w:pPr>
      <w:r w:rsidRPr="009939C6">
        <w:rPr>
          <w:rFonts w:cstheme="minorHAnsi"/>
        </w:rPr>
        <w:t xml:space="preserve">*ILI (Influenza-like </w:t>
      </w:r>
      <w:proofErr w:type="spellStart"/>
      <w:r w:rsidRPr="009939C6">
        <w:rPr>
          <w:rFonts w:cstheme="minorHAnsi"/>
        </w:rPr>
        <w:t>illness</w:t>
      </w:r>
      <w:proofErr w:type="spellEnd"/>
      <w:r w:rsidRPr="009939C6">
        <w:rPr>
          <w:rFonts w:cstheme="minorHAnsi"/>
        </w:rPr>
        <w:t xml:space="preserve">) = </w:t>
      </w:r>
      <w:r w:rsidR="009E6AC2" w:rsidRPr="009939C6">
        <w:rPr>
          <w:rFonts w:cstheme="minorHAnsi"/>
        </w:rPr>
        <w:t xml:space="preserve">sintomi quali </w:t>
      </w:r>
      <w:r w:rsidRPr="009939C6">
        <w:rPr>
          <w:rFonts w:cstheme="minorHAnsi"/>
        </w:rPr>
        <w:t>tosse, rinorrea, faringodinia, mialgie, artralgie, astenia</w:t>
      </w:r>
      <w:r w:rsidR="009E6AC2" w:rsidRPr="009939C6">
        <w:rPr>
          <w:rFonts w:cstheme="minorHAnsi"/>
        </w:rPr>
        <w:t>, ageusia, anosmia, ecc.</w:t>
      </w:r>
    </w:p>
    <w:p w14:paraId="51D02D6D" w14:textId="77777777" w:rsidR="00E2499B" w:rsidRDefault="00522E81" w:rsidP="000F7706">
      <w:pPr>
        <w:spacing w:before="240" w:line="276" w:lineRule="auto"/>
        <w:jc w:val="both"/>
        <w:rPr>
          <w:rFonts w:cstheme="minorHAnsi"/>
        </w:rPr>
      </w:pPr>
      <w:r w:rsidRPr="005115E6">
        <w:rPr>
          <w:rFonts w:cstheme="minorHAnsi"/>
        </w:rPr>
        <w:t xml:space="preserve">L’attivazione del medico U.S.C.A. per pazienti istituzionalizzati in case di riposo </w:t>
      </w:r>
      <w:r w:rsidR="005115E6" w:rsidRPr="000F7706">
        <w:rPr>
          <w:rFonts w:cstheme="minorHAnsi"/>
        </w:rPr>
        <w:t>potrà avvenire</w:t>
      </w:r>
      <w:r w:rsidR="005115E6" w:rsidRPr="005115E6">
        <w:rPr>
          <w:rFonts w:cstheme="minorHAnsi"/>
        </w:rPr>
        <w:t xml:space="preserve"> anche</w:t>
      </w:r>
      <w:r w:rsidRPr="005115E6">
        <w:rPr>
          <w:rFonts w:cstheme="minorHAnsi"/>
        </w:rPr>
        <w:t xml:space="preserve"> attraverso richiesta da parte del Distretto</w:t>
      </w:r>
      <w:r w:rsidR="00261DD6" w:rsidRPr="005115E6">
        <w:rPr>
          <w:rFonts w:cstheme="minorHAnsi"/>
        </w:rPr>
        <w:t xml:space="preserve"> e gestita in collaborazione, da concordare di volta in volta, con il medico di medicina generale e il SISP.</w:t>
      </w:r>
    </w:p>
    <w:p w14:paraId="3A6B8BF5" w14:textId="77777777" w:rsidR="005115E6" w:rsidRPr="000F7706" w:rsidRDefault="005115E6" w:rsidP="000F7706">
      <w:pPr>
        <w:spacing w:before="240" w:line="276" w:lineRule="auto"/>
        <w:jc w:val="both"/>
        <w:rPr>
          <w:rFonts w:cstheme="minorHAnsi"/>
        </w:rPr>
      </w:pPr>
      <w:r w:rsidRPr="000F7706">
        <w:rPr>
          <w:rFonts w:cstheme="minorHAnsi"/>
        </w:rPr>
        <w:t>I pazienti Covid-19 positivi accertati (già in possesso di tampone positivo indipendentemente dall’attivazione dell’U.S.C.A.) potranno essere gestiti secondo due modalità:</w:t>
      </w:r>
    </w:p>
    <w:p w14:paraId="4AE51C48" w14:textId="77777777" w:rsidR="000F7706" w:rsidRDefault="000F7706" w:rsidP="000F7706">
      <w:pPr>
        <w:pStyle w:val="Paragrafoelenco"/>
        <w:numPr>
          <w:ilvl w:val="0"/>
          <w:numId w:val="11"/>
        </w:numPr>
        <w:spacing w:before="240" w:line="276" w:lineRule="auto"/>
        <w:jc w:val="both"/>
        <w:rPr>
          <w:rFonts w:cstheme="minorHAnsi"/>
        </w:rPr>
      </w:pPr>
      <w:r w:rsidRPr="000F7706">
        <w:rPr>
          <w:rFonts w:cstheme="minorHAnsi"/>
        </w:rPr>
        <w:t xml:space="preserve">Gestione da parte del proprio Medico di Medicina Generale, il quale attiverà l’U.S.C.A. solo (se ritiene necessario l’inizio della terapia) per la fornitura diretta dei farmaci ed eventualmente dei DPI. In questo caso il MMG attesterà, tramite modulo apposito allegato, l’assenza di controindicazioni per l’assunzione dei farmaci forniti e gestirà il paziente sotto la sua responsabilità. </w:t>
      </w:r>
      <w:r w:rsidRPr="000F7706">
        <w:rPr>
          <w:rFonts w:cstheme="minorHAnsi"/>
        </w:rPr>
        <w:lastRenderedPageBreak/>
        <w:t>L’U.S.C.A. potrà essere ricontatta per eventuali consulenze necessarie e per definire la guarigione del paziente a fine sintomatologia, attraverso esecuzione dei tamponi di guarigione</w:t>
      </w:r>
      <w:r>
        <w:rPr>
          <w:rFonts w:cstheme="minorHAnsi"/>
        </w:rPr>
        <w:t>.</w:t>
      </w:r>
    </w:p>
    <w:p w14:paraId="527ACDAC" w14:textId="77777777" w:rsidR="005115E6" w:rsidRPr="000F7706" w:rsidRDefault="005115E6" w:rsidP="000F7706">
      <w:pPr>
        <w:pStyle w:val="Paragrafoelenco"/>
        <w:numPr>
          <w:ilvl w:val="0"/>
          <w:numId w:val="11"/>
        </w:numPr>
        <w:spacing w:before="240" w:line="276" w:lineRule="auto"/>
        <w:jc w:val="both"/>
        <w:rPr>
          <w:rFonts w:cstheme="minorHAnsi"/>
        </w:rPr>
      </w:pPr>
      <w:r w:rsidRPr="000F7706">
        <w:rPr>
          <w:rFonts w:cstheme="minorHAnsi"/>
        </w:rPr>
        <w:t>Gestione consueta da parte del medico U.S.C.A. previa attivazione mediante compilazione scheda attivazione.</w:t>
      </w:r>
    </w:p>
    <w:p w14:paraId="4C311F51" w14:textId="77777777" w:rsidR="00812399" w:rsidRPr="009939C6" w:rsidRDefault="00967226" w:rsidP="000F7706">
      <w:pPr>
        <w:spacing w:before="240" w:line="276" w:lineRule="auto"/>
        <w:jc w:val="both"/>
        <w:rPr>
          <w:rFonts w:cstheme="minorHAnsi"/>
          <w:b/>
          <w:bCs/>
          <w:u w:val="single"/>
        </w:rPr>
      </w:pPr>
      <w:r w:rsidRPr="009939C6">
        <w:rPr>
          <w:rFonts w:cstheme="minorHAnsi"/>
          <w:b/>
          <w:bCs/>
          <w:u w:val="single"/>
        </w:rPr>
        <w:t xml:space="preserve">3. </w:t>
      </w:r>
      <w:r w:rsidR="00635EFC" w:rsidRPr="009939C6">
        <w:rPr>
          <w:rFonts w:cstheme="minorHAnsi"/>
          <w:b/>
          <w:bCs/>
          <w:u w:val="single"/>
        </w:rPr>
        <w:t>Gestione dei pazienti</w:t>
      </w:r>
      <w:r w:rsidR="00187566" w:rsidRPr="009939C6">
        <w:rPr>
          <w:rFonts w:cstheme="minorHAnsi"/>
          <w:b/>
          <w:bCs/>
          <w:u w:val="single"/>
        </w:rPr>
        <w:t xml:space="preserve"> sospetti</w:t>
      </w:r>
      <w:r w:rsidR="00635EFC" w:rsidRPr="009939C6">
        <w:rPr>
          <w:rFonts w:cstheme="minorHAnsi"/>
          <w:b/>
          <w:bCs/>
          <w:u w:val="single"/>
        </w:rPr>
        <w:t>:</w:t>
      </w:r>
    </w:p>
    <w:p w14:paraId="138B4C7B" w14:textId="77777777" w:rsidR="00B77B34" w:rsidRPr="009939C6" w:rsidRDefault="00E2499B" w:rsidP="000F7706">
      <w:pPr>
        <w:spacing w:before="240" w:line="276" w:lineRule="auto"/>
        <w:jc w:val="both"/>
        <w:rPr>
          <w:rFonts w:cstheme="minorHAnsi"/>
          <w:sz w:val="24"/>
          <w:szCs w:val="24"/>
        </w:rPr>
      </w:pPr>
      <w:r w:rsidRPr="009939C6">
        <w:rPr>
          <w:rFonts w:cstheme="minorHAnsi"/>
          <w:sz w:val="24"/>
          <w:szCs w:val="24"/>
          <w:u w:val="single"/>
        </w:rPr>
        <w:t>Al giorno 1</w:t>
      </w:r>
      <w:r w:rsidRPr="009939C6">
        <w:rPr>
          <w:rFonts w:cstheme="minorHAnsi"/>
          <w:sz w:val="24"/>
          <w:szCs w:val="24"/>
        </w:rPr>
        <w:t xml:space="preserve">, la presa in carico può avvenire mediante contatto telefonico o visita domiciliare, a seconda dei casi. </w:t>
      </w:r>
    </w:p>
    <w:p w14:paraId="6201CD4B" w14:textId="77777777" w:rsidR="00B77B34" w:rsidRPr="009939C6" w:rsidRDefault="00B77B34" w:rsidP="000F7706">
      <w:pPr>
        <w:pStyle w:val="Paragrafoelenco"/>
        <w:numPr>
          <w:ilvl w:val="0"/>
          <w:numId w:val="10"/>
        </w:numPr>
        <w:spacing w:before="240" w:line="276" w:lineRule="auto"/>
        <w:jc w:val="both"/>
        <w:rPr>
          <w:rFonts w:cstheme="minorHAnsi"/>
          <w:sz w:val="24"/>
          <w:szCs w:val="24"/>
        </w:rPr>
      </w:pPr>
      <w:r w:rsidRPr="009939C6">
        <w:rPr>
          <w:rFonts w:cstheme="minorHAnsi"/>
          <w:sz w:val="24"/>
          <w:szCs w:val="24"/>
        </w:rPr>
        <w:t>VISITA</w:t>
      </w:r>
    </w:p>
    <w:p w14:paraId="7A2DA270" w14:textId="77777777" w:rsidR="00E2499B" w:rsidRPr="009939C6" w:rsidRDefault="00E2499B" w:rsidP="000F7706">
      <w:pPr>
        <w:spacing w:line="276" w:lineRule="auto"/>
        <w:jc w:val="both"/>
        <w:rPr>
          <w:rFonts w:cstheme="minorHAnsi"/>
          <w:bCs/>
          <w:iCs/>
          <w:sz w:val="24"/>
          <w:szCs w:val="24"/>
        </w:rPr>
      </w:pPr>
      <w:r w:rsidRPr="009939C6">
        <w:rPr>
          <w:rFonts w:cstheme="minorHAnsi"/>
          <w:bCs/>
          <w:iCs/>
          <w:sz w:val="24"/>
          <w:szCs w:val="24"/>
        </w:rPr>
        <w:t>Alla visita porre particolare attenzione a:</w:t>
      </w:r>
    </w:p>
    <w:p w14:paraId="43BDADFB" w14:textId="77777777" w:rsidR="00E2499B" w:rsidRPr="009939C6" w:rsidRDefault="00B77B34" w:rsidP="000F7706">
      <w:pPr>
        <w:spacing w:before="240" w:line="276" w:lineRule="auto"/>
        <w:jc w:val="both"/>
        <w:rPr>
          <w:rFonts w:cstheme="minorHAnsi"/>
          <w:bCs/>
          <w:iCs/>
          <w:sz w:val="24"/>
          <w:szCs w:val="24"/>
        </w:rPr>
      </w:pPr>
      <w:r w:rsidRPr="009939C6">
        <w:rPr>
          <w:rFonts w:cstheme="minorHAnsi"/>
          <w:bCs/>
          <w:iCs/>
          <w:sz w:val="24"/>
          <w:szCs w:val="24"/>
        </w:rPr>
        <w:t xml:space="preserve">- </w:t>
      </w:r>
      <w:r w:rsidR="00E2499B" w:rsidRPr="009939C6">
        <w:rPr>
          <w:rFonts w:cstheme="minorHAnsi"/>
          <w:bCs/>
          <w:iCs/>
          <w:sz w:val="24"/>
          <w:szCs w:val="24"/>
        </w:rPr>
        <w:t xml:space="preserve">parametri vitali, </w:t>
      </w:r>
      <w:proofErr w:type="spellStart"/>
      <w:r w:rsidR="00E2499B" w:rsidRPr="009939C6">
        <w:rPr>
          <w:rFonts w:cstheme="minorHAnsi"/>
          <w:bCs/>
          <w:iCs/>
          <w:sz w:val="24"/>
          <w:szCs w:val="24"/>
        </w:rPr>
        <w:t>saturimetria</w:t>
      </w:r>
      <w:proofErr w:type="spellEnd"/>
      <w:r w:rsidR="00E2499B" w:rsidRPr="009939C6">
        <w:rPr>
          <w:rFonts w:cstheme="minorHAnsi"/>
          <w:bCs/>
          <w:iCs/>
          <w:sz w:val="24"/>
          <w:szCs w:val="24"/>
        </w:rPr>
        <w:t xml:space="preserve">, </w:t>
      </w:r>
      <w:proofErr w:type="spellStart"/>
      <w:r w:rsidR="00E2499B" w:rsidRPr="009939C6">
        <w:rPr>
          <w:rFonts w:cstheme="minorHAnsi"/>
          <w:bCs/>
          <w:iCs/>
          <w:sz w:val="24"/>
          <w:szCs w:val="24"/>
        </w:rPr>
        <w:t>walking</w:t>
      </w:r>
      <w:proofErr w:type="spellEnd"/>
      <w:r w:rsidR="00E2499B" w:rsidRPr="009939C6">
        <w:rPr>
          <w:rFonts w:cstheme="minorHAnsi"/>
          <w:bCs/>
          <w:iCs/>
          <w:sz w:val="24"/>
          <w:szCs w:val="24"/>
        </w:rPr>
        <w:t xml:space="preserve"> test, EOP, utilizzo dei muscoli accessori per il respiro (contrazione dello sternocleidomastoideo, movimenti diaframmatici ed intercostali, spostamenti dell’addome) </w:t>
      </w:r>
    </w:p>
    <w:p w14:paraId="5EC8436F" w14:textId="77777777" w:rsidR="00E2499B" w:rsidRPr="009939C6" w:rsidRDefault="00E2499B" w:rsidP="000F7706">
      <w:pPr>
        <w:spacing w:before="240" w:line="276" w:lineRule="auto"/>
        <w:jc w:val="both"/>
        <w:rPr>
          <w:rFonts w:cstheme="minorHAnsi"/>
          <w:bCs/>
          <w:iCs/>
          <w:sz w:val="24"/>
          <w:szCs w:val="24"/>
        </w:rPr>
      </w:pPr>
      <w:r w:rsidRPr="009939C6">
        <w:rPr>
          <w:rFonts w:cstheme="minorHAnsi"/>
          <w:bCs/>
          <w:iCs/>
          <w:sz w:val="24"/>
          <w:szCs w:val="24"/>
        </w:rPr>
        <w:t>-</w:t>
      </w:r>
      <w:r w:rsidR="00B61EA6" w:rsidRPr="009939C6">
        <w:rPr>
          <w:rFonts w:cstheme="minorHAnsi"/>
          <w:bCs/>
          <w:iCs/>
          <w:sz w:val="24"/>
          <w:szCs w:val="24"/>
        </w:rPr>
        <w:t xml:space="preserve"> </w:t>
      </w:r>
      <w:r w:rsidRPr="009939C6">
        <w:rPr>
          <w:rFonts w:cstheme="minorHAnsi"/>
          <w:bCs/>
          <w:iCs/>
          <w:sz w:val="24"/>
          <w:szCs w:val="24"/>
        </w:rPr>
        <w:t xml:space="preserve">anamnesi farmacologica – con attenzione a farmaci che allungano QT- e patologica – con attenzione particolare a fattori di rischio </w:t>
      </w:r>
      <w:proofErr w:type="spellStart"/>
      <w:r w:rsidRPr="009939C6">
        <w:rPr>
          <w:rFonts w:cstheme="minorHAnsi"/>
          <w:bCs/>
          <w:iCs/>
          <w:sz w:val="24"/>
          <w:szCs w:val="24"/>
        </w:rPr>
        <w:t>trombofilici</w:t>
      </w:r>
      <w:proofErr w:type="spellEnd"/>
      <w:r w:rsidRPr="009939C6">
        <w:rPr>
          <w:rFonts w:cstheme="minorHAnsi"/>
          <w:bCs/>
          <w:iCs/>
          <w:sz w:val="24"/>
          <w:szCs w:val="24"/>
        </w:rPr>
        <w:t xml:space="preserve"> per valutazione terapia con EBPM, cardiopatie per valutare esecuzione ECG, favismo, alterazioni elettrolitiche e maculopatie </w:t>
      </w:r>
    </w:p>
    <w:p w14:paraId="43CFDD94" w14:textId="77777777" w:rsidR="002D10B2" w:rsidRPr="009939C6" w:rsidRDefault="00B61EA6" w:rsidP="000F7706">
      <w:pPr>
        <w:spacing w:before="240" w:line="276" w:lineRule="auto"/>
        <w:jc w:val="both"/>
        <w:rPr>
          <w:rFonts w:cstheme="minorHAnsi"/>
          <w:bCs/>
          <w:iCs/>
          <w:sz w:val="24"/>
          <w:szCs w:val="24"/>
        </w:rPr>
      </w:pPr>
      <w:r w:rsidRPr="009939C6">
        <w:rPr>
          <w:rFonts w:cstheme="minorHAnsi"/>
          <w:bCs/>
          <w:iCs/>
          <w:sz w:val="24"/>
          <w:szCs w:val="24"/>
        </w:rPr>
        <w:t xml:space="preserve">- </w:t>
      </w:r>
      <w:r w:rsidR="00E2499B" w:rsidRPr="009939C6">
        <w:rPr>
          <w:rFonts w:cstheme="minorHAnsi"/>
          <w:bCs/>
          <w:iCs/>
          <w:sz w:val="24"/>
          <w:szCs w:val="24"/>
        </w:rPr>
        <w:t>peso e calcolo BMI (calo ponderale, anoressia).</w:t>
      </w:r>
    </w:p>
    <w:p w14:paraId="187451F5" w14:textId="77777777" w:rsidR="00B77B34" w:rsidRPr="009939C6" w:rsidRDefault="00B77B34" w:rsidP="000F7706">
      <w:pPr>
        <w:pStyle w:val="Paragrafoelenco"/>
        <w:numPr>
          <w:ilvl w:val="0"/>
          <w:numId w:val="10"/>
        </w:numPr>
        <w:spacing w:before="240" w:line="276" w:lineRule="auto"/>
        <w:jc w:val="both"/>
        <w:rPr>
          <w:rFonts w:cstheme="minorHAnsi"/>
        </w:rPr>
      </w:pPr>
      <w:r w:rsidRPr="009939C6">
        <w:rPr>
          <w:rFonts w:cstheme="minorHAnsi"/>
        </w:rPr>
        <w:t>TAMPONE</w:t>
      </w:r>
    </w:p>
    <w:p w14:paraId="4178D9A7" w14:textId="77777777" w:rsidR="00655DE0" w:rsidRPr="009939C6" w:rsidRDefault="00162947" w:rsidP="000F7706">
      <w:pPr>
        <w:spacing w:before="240" w:line="276" w:lineRule="auto"/>
        <w:jc w:val="both"/>
        <w:rPr>
          <w:rFonts w:cstheme="minorHAnsi"/>
        </w:rPr>
      </w:pPr>
      <w:r w:rsidRPr="009939C6">
        <w:rPr>
          <w:rFonts w:cstheme="minorHAnsi"/>
        </w:rPr>
        <w:t>Il tampone va richiesto con modulo apposito, aggiungendo la scritta “urgente” e dicitura “tampone ricerca SarsCOV2, sospetto COVID-19”.</w:t>
      </w:r>
      <w:r w:rsidR="005115E6">
        <w:rPr>
          <w:rFonts w:cstheme="minorHAnsi"/>
        </w:rPr>
        <w:t xml:space="preserve"> I</w:t>
      </w:r>
      <w:r w:rsidRPr="009939C6">
        <w:rPr>
          <w:rFonts w:cstheme="minorHAnsi"/>
        </w:rPr>
        <w:t xml:space="preserve">l medico dell’USCA </w:t>
      </w:r>
      <w:r w:rsidR="005115E6">
        <w:rPr>
          <w:rFonts w:cstheme="minorHAnsi"/>
        </w:rPr>
        <w:t>ha la possibilità di eseguire</w:t>
      </w:r>
      <w:r w:rsidRPr="009939C6">
        <w:rPr>
          <w:rFonts w:cstheme="minorHAnsi"/>
        </w:rPr>
        <w:t xml:space="preserve"> il tampone a tutti i pz</w:t>
      </w:r>
      <w:r w:rsidR="005115E6">
        <w:rPr>
          <w:rFonts w:cstheme="minorHAnsi"/>
        </w:rPr>
        <w:t xml:space="preserve"> presi in carico</w:t>
      </w:r>
      <w:r w:rsidRPr="009939C6">
        <w:rPr>
          <w:rFonts w:cstheme="minorHAnsi"/>
        </w:rPr>
        <w:t xml:space="preserve">. Se l’esito è negativo, ma permane il forte sospetto di </w:t>
      </w:r>
      <w:proofErr w:type="spellStart"/>
      <w:r w:rsidRPr="009939C6">
        <w:rPr>
          <w:rFonts w:cstheme="minorHAnsi"/>
        </w:rPr>
        <w:t>covid</w:t>
      </w:r>
      <w:proofErr w:type="spellEnd"/>
      <w:r w:rsidRPr="009939C6">
        <w:rPr>
          <w:rFonts w:cstheme="minorHAnsi"/>
        </w:rPr>
        <w:t xml:space="preserve">, si </w:t>
      </w:r>
      <w:r w:rsidR="005115E6">
        <w:rPr>
          <w:rFonts w:cstheme="minorHAnsi"/>
        </w:rPr>
        <w:t>può ripetere</w:t>
      </w:r>
      <w:r w:rsidRPr="009939C6">
        <w:rPr>
          <w:rFonts w:cstheme="minorHAnsi"/>
        </w:rPr>
        <w:t xml:space="preserve"> il tampone dopo 48 h.</w:t>
      </w:r>
    </w:p>
    <w:p w14:paraId="5442B79B" w14:textId="77777777" w:rsidR="00B77B34" w:rsidRPr="009939C6" w:rsidRDefault="00B77B34" w:rsidP="000F7706">
      <w:pPr>
        <w:pStyle w:val="Paragrafoelenco"/>
        <w:numPr>
          <w:ilvl w:val="0"/>
          <w:numId w:val="10"/>
        </w:numPr>
        <w:spacing w:before="240" w:line="276" w:lineRule="auto"/>
        <w:jc w:val="both"/>
        <w:rPr>
          <w:rFonts w:cstheme="minorHAnsi"/>
        </w:rPr>
      </w:pPr>
      <w:r w:rsidRPr="009939C6">
        <w:rPr>
          <w:rFonts w:cstheme="minorHAnsi"/>
        </w:rPr>
        <w:t>EMATOCHIMICI</w:t>
      </w:r>
    </w:p>
    <w:p w14:paraId="1E8A8A48" w14:textId="77777777" w:rsidR="00B77B34" w:rsidRPr="009939C6" w:rsidRDefault="00B77B34" w:rsidP="000F7706">
      <w:pPr>
        <w:spacing w:before="240" w:line="276" w:lineRule="auto"/>
        <w:jc w:val="both"/>
        <w:rPr>
          <w:rFonts w:cstheme="minorHAnsi"/>
          <w:bCs/>
          <w:iCs/>
          <w:highlight w:val="green"/>
        </w:rPr>
      </w:pPr>
      <w:r w:rsidRPr="009939C6">
        <w:rPr>
          <w:rFonts w:cstheme="minorHAnsi"/>
          <w:bCs/>
          <w:iCs/>
        </w:rPr>
        <w:t>Prima della visita (basandosi sull’anamnesi telefonica e su passaggio di consegna del MMG) o durante la visita è p</w:t>
      </w:r>
      <w:r w:rsidR="00B61EA6" w:rsidRPr="009939C6">
        <w:rPr>
          <w:rFonts w:cstheme="minorHAnsi"/>
          <w:bCs/>
          <w:iCs/>
        </w:rPr>
        <w:t>ossibile richiedere esami ematici</w:t>
      </w:r>
      <w:r w:rsidRPr="009939C6">
        <w:rPr>
          <w:rFonts w:cstheme="minorHAnsi"/>
          <w:bCs/>
          <w:iCs/>
        </w:rPr>
        <w:t xml:space="preserve"> urgenti.</w:t>
      </w:r>
    </w:p>
    <w:p w14:paraId="43E79EE2" w14:textId="77777777" w:rsidR="00B77B34" w:rsidRPr="009939C6" w:rsidRDefault="00B77B34" w:rsidP="000F7706">
      <w:pPr>
        <w:spacing w:before="240" w:line="276" w:lineRule="auto"/>
        <w:jc w:val="both"/>
        <w:rPr>
          <w:rFonts w:cstheme="minorHAnsi"/>
          <w:b/>
          <w:bCs/>
          <w:iCs/>
          <w:color w:val="FF0000"/>
        </w:rPr>
      </w:pPr>
      <w:r w:rsidRPr="009939C6">
        <w:rPr>
          <w:rFonts w:cstheme="minorHAnsi"/>
          <w:u w:val="single"/>
        </w:rPr>
        <w:t>P</w:t>
      </w:r>
      <w:r w:rsidR="00A12DFA" w:rsidRPr="009939C6">
        <w:rPr>
          <w:rFonts w:cstheme="minorHAnsi"/>
          <w:u w:val="single"/>
        </w:rPr>
        <w:t>anel USCA urgente</w:t>
      </w:r>
      <w:r w:rsidR="00A12DFA" w:rsidRPr="009939C6">
        <w:rPr>
          <w:rFonts w:cstheme="minorHAnsi"/>
        </w:rPr>
        <w:t xml:space="preserve"> = </w:t>
      </w:r>
      <w:r w:rsidR="00B61EA6" w:rsidRPr="009939C6">
        <w:rPr>
          <w:rFonts w:cstheme="minorHAnsi"/>
        </w:rPr>
        <w:t>E</w:t>
      </w:r>
      <w:r w:rsidR="004C11C6" w:rsidRPr="009939C6">
        <w:rPr>
          <w:rFonts w:cstheme="minorHAnsi"/>
        </w:rPr>
        <w:t xml:space="preserve">mocromo, D-dimero, PCR, </w:t>
      </w:r>
      <w:r w:rsidR="00A12DFA" w:rsidRPr="009939C6">
        <w:rPr>
          <w:rFonts w:cstheme="minorHAnsi"/>
        </w:rPr>
        <w:t>AST, ALT,</w:t>
      </w:r>
      <w:r w:rsidR="00B61EA6" w:rsidRPr="009939C6">
        <w:rPr>
          <w:rFonts w:cstheme="minorHAnsi"/>
        </w:rPr>
        <w:t xml:space="preserve"> Creatinina</w:t>
      </w:r>
      <w:r w:rsidR="004C11C6" w:rsidRPr="009939C6">
        <w:rPr>
          <w:rFonts w:cstheme="minorHAnsi"/>
        </w:rPr>
        <w:t xml:space="preserve"> </w:t>
      </w:r>
      <w:r w:rsidR="007B7EF6" w:rsidRPr="009939C6">
        <w:rPr>
          <w:rFonts w:cstheme="minorHAnsi"/>
        </w:rPr>
        <w:t xml:space="preserve">+ eventuali aggiunte in base al quadro clinico </w:t>
      </w:r>
      <w:r w:rsidRPr="009939C6">
        <w:rPr>
          <w:rFonts w:cstheme="minorHAnsi"/>
        </w:rPr>
        <w:t xml:space="preserve">(PT, PTT, PCT, glicemia, ecc ricordando che sono esami d’urgenza quindi pensare a quelli strettamente necessari – vedi allegato in sede degli esami eseguibili in urgenza). </w:t>
      </w:r>
      <w:r w:rsidR="00113DF4" w:rsidRPr="009939C6">
        <w:rPr>
          <w:rFonts w:cstheme="minorHAnsi"/>
        </w:rPr>
        <w:t>S</w:t>
      </w:r>
      <w:r w:rsidR="004C4A04" w:rsidRPr="009939C6">
        <w:rPr>
          <w:rFonts w:cstheme="minorHAnsi"/>
        </w:rPr>
        <w:t>u ricetta rossa, barrando U</w:t>
      </w:r>
      <w:r w:rsidR="00A12DFA" w:rsidRPr="009939C6">
        <w:rPr>
          <w:rFonts w:cstheme="minorHAnsi"/>
        </w:rPr>
        <w:t xml:space="preserve"> e con esenzione P01</w:t>
      </w:r>
      <w:r w:rsidR="004C4A04" w:rsidRPr="009939C6">
        <w:rPr>
          <w:rFonts w:cstheme="minorHAnsi"/>
        </w:rPr>
        <w:t>. Le infermiere del distretto si occuperanno del prelievo.</w:t>
      </w:r>
      <w:r w:rsidR="004C4A04" w:rsidRPr="009939C6">
        <w:rPr>
          <w:rFonts w:cstheme="minorHAnsi"/>
          <w:b/>
        </w:rPr>
        <w:t xml:space="preserve"> </w:t>
      </w:r>
      <w:r w:rsidR="00113DF4" w:rsidRPr="009939C6">
        <w:rPr>
          <w:rFonts w:cstheme="minorHAnsi"/>
          <w:b/>
        </w:rPr>
        <w:t xml:space="preserve"> </w:t>
      </w:r>
    </w:p>
    <w:p w14:paraId="27C71CD2" w14:textId="77777777" w:rsidR="00B61EA6" w:rsidRPr="009939C6" w:rsidRDefault="00B61EA6" w:rsidP="000F7706">
      <w:pPr>
        <w:pStyle w:val="Paragrafoelenco"/>
        <w:spacing w:before="240" w:line="276" w:lineRule="auto"/>
        <w:ind w:left="1440"/>
        <w:jc w:val="both"/>
        <w:rPr>
          <w:rFonts w:cstheme="minorHAnsi"/>
          <w:bCs/>
          <w:iCs/>
        </w:rPr>
      </w:pPr>
    </w:p>
    <w:p w14:paraId="1CA95A2A" w14:textId="77777777" w:rsidR="00621481" w:rsidRPr="009939C6" w:rsidRDefault="008B1368" w:rsidP="000F7706">
      <w:pPr>
        <w:pStyle w:val="Paragrafoelenco"/>
        <w:numPr>
          <w:ilvl w:val="0"/>
          <w:numId w:val="2"/>
        </w:numPr>
        <w:spacing w:before="240" w:line="276" w:lineRule="auto"/>
        <w:jc w:val="both"/>
        <w:rPr>
          <w:rFonts w:cstheme="minorHAnsi"/>
        </w:rPr>
      </w:pPr>
      <w:r w:rsidRPr="009939C6">
        <w:rPr>
          <w:rFonts w:cstheme="minorHAnsi"/>
          <w:u w:val="single"/>
        </w:rPr>
        <w:t>Se e</w:t>
      </w:r>
      <w:r w:rsidR="00621481" w:rsidRPr="009939C6">
        <w:rPr>
          <w:rFonts w:cstheme="minorHAnsi"/>
          <w:u w:val="single"/>
        </w:rPr>
        <w:t>sito tampone NEGATIVO</w:t>
      </w:r>
      <w:r w:rsidR="00DB21A4" w:rsidRPr="009939C6">
        <w:rPr>
          <w:rFonts w:cstheme="minorHAnsi"/>
        </w:rPr>
        <w:t xml:space="preserve"> </w:t>
      </w:r>
      <w:r w:rsidR="00DB21A4" w:rsidRPr="009939C6">
        <w:rPr>
          <w:rFonts w:cstheme="minorHAnsi"/>
        </w:rPr>
        <w:sym w:font="Wingdings" w:char="F0E0"/>
      </w:r>
      <w:r w:rsidR="00DB21A4" w:rsidRPr="009939C6">
        <w:rPr>
          <w:rFonts w:cstheme="minorHAnsi"/>
        </w:rPr>
        <w:t xml:space="preserve"> </w:t>
      </w:r>
      <w:r w:rsidRPr="009939C6">
        <w:rPr>
          <w:rFonts w:cstheme="minorHAnsi"/>
        </w:rPr>
        <w:t>gestione clinico-assistenziale del pazien</w:t>
      </w:r>
      <w:r w:rsidR="00B61EA6" w:rsidRPr="009939C6">
        <w:rPr>
          <w:rFonts w:cstheme="minorHAnsi"/>
        </w:rPr>
        <w:t>te viene proseguita dal medico C</w:t>
      </w:r>
      <w:r w:rsidRPr="009939C6">
        <w:rPr>
          <w:rFonts w:cstheme="minorHAnsi"/>
        </w:rPr>
        <w:t>urante. Nel caso di sintomatologia fortemente sospetta, nonostante il tampone negati</w:t>
      </w:r>
      <w:r w:rsidR="00944F2E" w:rsidRPr="009939C6">
        <w:rPr>
          <w:rFonts w:cstheme="minorHAnsi"/>
        </w:rPr>
        <w:t>vo, considerare ripetizione a 48/72</w:t>
      </w:r>
      <w:r w:rsidRPr="009939C6">
        <w:rPr>
          <w:rFonts w:cstheme="minorHAnsi"/>
        </w:rPr>
        <w:t xml:space="preserve"> h</w:t>
      </w:r>
      <w:r w:rsidR="00162947" w:rsidRPr="009939C6">
        <w:rPr>
          <w:rFonts w:cstheme="minorHAnsi"/>
        </w:rPr>
        <w:t xml:space="preserve"> e presa in carico USCA</w:t>
      </w:r>
      <w:r w:rsidR="00B61EA6" w:rsidRPr="009939C6">
        <w:rPr>
          <w:rFonts w:cstheme="minorHAnsi"/>
        </w:rPr>
        <w:t xml:space="preserve">, </w:t>
      </w:r>
      <w:r w:rsidR="00EB6F02" w:rsidRPr="009939C6">
        <w:rPr>
          <w:rFonts w:cstheme="minorHAnsi"/>
        </w:rPr>
        <w:t>nonostante negatività</w:t>
      </w:r>
      <w:r w:rsidRPr="009939C6">
        <w:rPr>
          <w:rFonts w:cstheme="minorHAnsi"/>
        </w:rPr>
        <w:t>.</w:t>
      </w:r>
    </w:p>
    <w:p w14:paraId="27F4C7BD" w14:textId="77777777" w:rsidR="004C6718" w:rsidRPr="009939C6" w:rsidRDefault="004C6718" w:rsidP="000F7706">
      <w:pPr>
        <w:pStyle w:val="Paragrafoelenco"/>
        <w:spacing w:before="240" w:line="276" w:lineRule="auto"/>
        <w:jc w:val="both"/>
        <w:rPr>
          <w:rFonts w:cstheme="minorHAnsi"/>
        </w:rPr>
      </w:pPr>
    </w:p>
    <w:p w14:paraId="749F6643" w14:textId="77777777" w:rsidR="00621481" w:rsidRPr="009939C6" w:rsidRDefault="008B1368" w:rsidP="000F7706">
      <w:pPr>
        <w:pStyle w:val="Paragrafoelenco"/>
        <w:numPr>
          <w:ilvl w:val="0"/>
          <w:numId w:val="2"/>
        </w:numPr>
        <w:spacing w:before="240" w:line="276" w:lineRule="auto"/>
        <w:jc w:val="both"/>
        <w:rPr>
          <w:rFonts w:cstheme="minorHAnsi"/>
        </w:rPr>
      </w:pPr>
      <w:r w:rsidRPr="009939C6">
        <w:rPr>
          <w:rFonts w:cstheme="minorHAnsi"/>
          <w:u w:val="single"/>
        </w:rPr>
        <w:t>Se e</w:t>
      </w:r>
      <w:r w:rsidR="00621481" w:rsidRPr="009939C6">
        <w:rPr>
          <w:rFonts w:cstheme="minorHAnsi"/>
          <w:u w:val="single"/>
        </w:rPr>
        <w:t>sito tampone POSITIVO</w:t>
      </w:r>
      <w:r w:rsidR="00DB21A4" w:rsidRPr="009939C6">
        <w:rPr>
          <w:rFonts w:cstheme="minorHAnsi"/>
        </w:rPr>
        <w:t xml:space="preserve"> </w:t>
      </w:r>
      <w:r w:rsidR="00187566" w:rsidRPr="009939C6">
        <w:rPr>
          <w:rFonts w:cstheme="minorHAnsi"/>
        </w:rPr>
        <w:sym w:font="Wingdings" w:char="F0E0"/>
      </w:r>
      <w:r w:rsidR="00DB21A4" w:rsidRPr="009939C6">
        <w:rPr>
          <w:rFonts w:cstheme="minorHAnsi"/>
        </w:rPr>
        <w:t xml:space="preserve"> </w:t>
      </w:r>
      <w:r w:rsidRPr="009939C6">
        <w:rPr>
          <w:rFonts w:cstheme="minorHAnsi"/>
        </w:rPr>
        <w:t>inizio precoce della terapia:</w:t>
      </w:r>
    </w:p>
    <w:p w14:paraId="222318EB" w14:textId="77777777" w:rsidR="008B1368" w:rsidRPr="009939C6" w:rsidRDefault="00E8350B" w:rsidP="000F7706">
      <w:pPr>
        <w:pStyle w:val="Paragrafoelenco"/>
        <w:numPr>
          <w:ilvl w:val="1"/>
          <w:numId w:val="2"/>
        </w:numPr>
        <w:spacing w:before="240" w:line="276" w:lineRule="auto"/>
        <w:jc w:val="both"/>
        <w:rPr>
          <w:rFonts w:cstheme="minorHAnsi"/>
        </w:rPr>
      </w:pPr>
      <w:proofErr w:type="spellStart"/>
      <w:r w:rsidRPr="009939C6">
        <w:rPr>
          <w:rFonts w:cstheme="minorHAnsi"/>
          <w:b/>
        </w:rPr>
        <w:t>Idrossiclorochina</w:t>
      </w:r>
      <w:proofErr w:type="spellEnd"/>
      <w:r w:rsidRPr="009939C6">
        <w:rPr>
          <w:rFonts w:cstheme="minorHAnsi"/>
        </w:rPr>
        <w:t>:</w:t>
      </w:r>
      <w:r w:rsidR="007362F5" w:rsidRPr="009939C6">
        <w:rPr>
          <w:rFonts w:cstheme="minorHAnsi"/>
        </w:rPr>
        <w:t xml:space="preserve"> </w:t>
      </w:r>
      <w:r w:rsidR="000F7706" w:rsidRPr="000F7706">
        <w:rPr>
          <w:rFonts w:cstheme="minorHAnsi"/>
          <w:b/>
          <w:bCs/>
        </w:rPr>
        <w:t xml:space="preserve">2 </w:t>
      </w:r>
      <w:proofErr w:type="spellStart"/>
      <w:r w:rsidR="000F7706" w:rsidRPr="000F7706">
        <w:rPr>
          <w:rFonts w:cstheme="minorHAnsi"/>
          <w:b/>
          <w:bCs/>
        </w:rPr>
        <w:t>cp</w:t>
      </w:r>
      <w:proofErr w:type="spellEnd"/>
      <w:r w:rsidR="000F7706" w:rsidRPr="000F7706">
        <w:rPr>
          <w:rFonts w:cstheme="minorHAnsi"/>
          <w:b/>
          <w:bCs/>
        </w:rPr>
        <w:t xml:space="preserve"> da </w:t>
      </w:r>
      <w:r w:rsidR="00254893" w:rsidRPr="000F7706">
        <w:rPr>
          <w:rFonts w:cstheme="minorHAnsi"/>
          <w:b/>
          <w:bCs/>
        </w:rPr>
        <w:t>200</w:t>
      </w:r>
      <w:r w:rsidR="00254893" w:rsidRPr="009939C6">
        <w:rPr>
          <w:rFonts w:cstheme="minorHAnsi"/>
          <w:b/>
        </w:rPr>
        <w:t xml:space="preserve"> mg</w:t>
      </w:r>
      <w:r w:rsidR="00C767D1" w:rsidRPr="009939C6">
        <w:rPr>
          <w:rFonts w:cstheme="minorHAnsi"/>
          <w:b/>
        </w:rPr>
        <w:t xml:space="preserve"> </w:t>
      </w:r>
      <w:r w:rsidR="000F7706">
        <w:rPr>
          <w:rFonts w:cstheme="minorHAnsi"/>
          <w:b/>
        </w:rPr>
        <w:t xml:space="preserve">ogni </w:t>
      </w:r>
      <w:r w:rsidR="00254893" w:rsidRPr="009939C6">
        <w:rPr>
          <w:rFonts w:cstheme="minorHAnsi"/>
          <w:b/>
        </w:rPr>
        <w:t>12 h</w:t>
      </w:r>
      <w:r w:rsidR="00580BDC" w:rsidRPr="009939C6">
        <w:rPr>
          <w:rFonts w:cstheme="minorHAnsi"/>
          <w:b/>
        </w:rPr>
        <w:t xml:space="preserve"> il primo giorno</w:t>
      </w:r>
      <w:r w:rsidR="00621481" w:rsidRPr="009939C6">
        <w:rPr>
          <w:rFonts w:cstheme="minorHAnsi"/>
          <w:b/>
        </w:rPr>
        <w:t xml:space="preserve">, poi 200 mg </w:t>
      </w:r>
      <w:r w:rsidR="00580BDC" w:rsidRPr="009939C6">
        <w:rPr>
          <w:rFonts w:cstheme="minorHAnsi"/>
          <w:b/>
        </w:rPr>
        <w:t>ogni 12 h</w:t>
      </w:r>
      <w:r w:rsidR="00621481" w:rsidRPr="009939C6">
        <w:rPr>
          <w:rFonts w:cstheme="minorHAnsi"/>
          <w:b/>
        </w:rPr>
        <w:t xml:space="preserve"> per altri 4 giorni</w:t>
      </w:r>
      <w:r w:rsidR="00C24699" w:rsidRPr="009939C6">
        <w:rPr>
          <w:rFonts w:cstheme="minorHAnsi"/>
          <w:b/>
        </w:rPr>
        <w:t xml:space="preserve"> in fornitura diretta in sede (compila</w:t>
      </w:r>
      <w:r w:rsidR="00A12DFA" w:rsidRPr="009939C6">
        <w:rPr>
          <w:rFonts w:cstheme="minorHAnsi"/>
          <w:b/>
        </w:rPr>
        <w:t>nd</w:t>
      </w:r>
      <w:r w:rsidR="00A12DFA" w:rsidRPr="000F7706">
        <w:rPr>
          <w:rFonts w:cstheme="minorHAnsi"/>
          <w:b/>
        </w:rPr>
        <w:t>o</w:t>
      </w:r>
      <w:r w:rsidR="00C24699" w:rsidRPr="000F7706">
        <w:rPr>
          <w:rFonts w:cstheme="minorHAnsi"/>
          <w:b/>
        </w:rPr>
        <w:t xml:space="preserve"> il piano di cura</w:t>
      </w:r>
      <w:r w:rsidR="00362416" w:rsidRPr="000F7706">
        <w:rPr>
          <w:rFonts w:cstheme="minorHAnsi"/>
          <w:b/>
        </w:rPr>
        <w:t xml:space="preserve"> e il modulo di consenso </w:t>
      </w:r>
      <w:r w:rsidR="00362416" w:rsidRPr="000F7706">
        <w:rPr>
          <w:rFonts w:cstheme="minorHAnsi"/>
          <w:b/>
        </w:rPr>
        <w:lastRenderedPageBreak/>
        <w:t>informato da far firmare al paziente</w:t>
      </w:r>
      <w:r w:rsidR="00C24699" w:rsidRPr="000F7706">
        <w:rPr>
          <w:rFonts w:cstheme="minorHAnsi"/>
          <w:b/>
        </w:rPr>
        <w:t>).</w:t>
      </w:r>
    </w:p>
    <w:p w14:paraId="377FBD86" w14:textId="77777777" w:rsidR="00E8350B" w:rsidRPr="009939C6" w:rsidRDefault="00E8350B" w:rsidP="000F7706">
      <w:pPr>
        <w:pStyle w:val="Paragrafoelenco"/>
        <w:spacing w:before="240" w:line="276" w:lineRule="auto"/>
        <w:ind w:left="1440"/>
        <w:jc w:val="both"/>
        <w:rPr>
          <w:rFonts w:cstheme="minorHAnsi"/>
        </w:rPr>
      </w:pPr>
      <w:r w:rsidRPr="009939C6">
        <w:rPr>
          <w:rFonts w:cstheme="minorHAnsi"/>
        </w:rPr>
        <w:t>Se concomitanza di terapia con altri farmaci che allungano il QT o paziente con precedenti cardiologici, l’inizio della terapia con clorochina deve avvenire previa esecuzione di ECG</w:t>
      </w:r>
      <w:r w:rsidR="008B1368" w:rsidRPr="000F7706">
        <w:rPr>
          <w:rFonts w:cstheme="minorHAnsi"/>
        </w:rPr>
        <w:t>.</w:t>
      </w:r>
      <w:r w:rsidR="005115E6" w:rsidRPr="000F7706">
        <w:rPr>
          <w:rFonts w:cstheme="minorHAnsi"/>
        </w:rPr>
        <w:t xml:space="preserve"> Nei casi fortemente sospetti e con sintomatologia eclatante, sui quali si ritiene opportuno iniziare la terapia con </w:t>
      </w:r>
      <w:proofErr w:type="spellStart"/>
      <w:r w:rsidR="005115E6" w:rsidRPr="000F7706">
        <w:rPr>
          <w:rFonts w:cstheme="minorHAnsi"/>
        </w:rPr>
        <w:t>idrossiclorochina</w:t>
      </w:r>
      <w:proofErr w:type="spellEnd"/>
      <w:r w:rsidR="005115E6" w:rsidRPr="000F7706">
        <w:rPr>
          <w:rFonts w:cstheme="minorHAnsi"/>
        </w:rPr>
        <w:t xml:space="preserve"> il più precocemente possibile</w:t>
      </w:r>
      <w:r w:rsidR="00362416" w:rsidRPr="000F7706">
        <w:rPr>
          <w:rFonts w:cstheme="minorHAnsi"/>
        </w:rPr>
        <w:t>, si può considerare l’inizio della terapia anche senza essere ancora in possesso dell’esito del tampone, previa effettuazione di tracciato ECG per valutazione del QT e raccolta del consenso informato (ed eventuale consulenza infettivologica telefonica – v. numero sotto)</w:t>
      </w:r>
    </w:p>
    <w:p w14:paraId="3A968277" w14:textId="77777777" w:rsidR="007B1C66" w:rsidRPr="009939C6" w:rsidRDefault="007B1C66" w:rsidP="000F7706">
      <w:pPr>
        <w:pStyle w:val="Paragrafoelenco"/>
        <w:numPr>
          <w:ilvl w:val="1"/>
          <w:numId w:val="2"/>
        </w:numPr>
        <w:spacing w:before="240" w:line="276" w:lineRule="auto"/>
        <w:jc w:val="both"/>
        <w:rPr>
          <w:rFonts w:cstheme="minorHAnsi"/>
        </w:rPr>
      </w:pPr>
      <w:r w:rsidRPr="009939C6">
        <w:rPr>
          <w:rFonts w:cstheme="minorHAnsi"/>
        </w:rPr>
        <w:t>Terapia antibiotica</w:t>
      </w:r>
      <w:r w:rsidRPr="009939C6">
        <w:rPr>
          <w:rFonts w:cstheme="minorHAnsi"/>
          <w:b/>
        </w:rPr>
        <w:t>: DOXICICLINA + CEFIXIMA</w:t>
      </w:r>
    </w:p>
    <w:p w14:paraId="3B17DF54" w14:textId="77777777" w:rsidR="00187566" w:rsidRPr="009939C6" w:rsidRDefault="0034627E" w:rsidP="000F7706">
      <w:pPr>
        <w:pStyle w:val="Paragrafoelenco"/>
        <w:spacing w:before="240" w:line="276" w:lineRule="auto"/>
        <w:ind w:left="1440"/>
        <w:jc w:val="both"/>
        <w:rPr>
          <w:rFonts w:cstheme="minorHAnsi"/>
        </w:rPr>
      </w:pPr>
      <w:r w:rsidRPr="009939C6">
        <w:rPr>
          <w:rFonts w:cstheme="minorHAnsi"/>
        </w:rPr>
        <w:t xml:space="preserve">La terapia antibiotica non </w:t>
      </w:r>
      <w:r w:rsidR="008B412F" w:rsidRPr="009939C6">
        <w:rPr>
          <w:rFonts w:cstheme="minorHAnsi"/>
        </w:rPr>
        <w:t xml:space="preserve">è indicata </w:t>
      </w:r>
      <w:r w:rsidRPr="009939C6">
        <w:rPr>
          <w:rFonts w:cstheme="minorHAnsi"/>
        </w:rPr>
        <w:t>nelle fasi iniziali di malattia</w:t>
      </w:r>
      <w:r w:rsidR="000412FC" w:rsidRPr="009939C6">
        <w:rPr>
          <w:rFonts w:cstheme="minorHAnsi"/>
        </w:rPr>
        <w:t xml:space="preserve"> se non in presenza di reperto </w:t>
      </w:r>
      <w:proofErr w:type="spellStart"/>
      <w:r w:rsidR="000412FC" w:rsidRPr="009939C6">
        <w:rPr>
          <w:rFonts w:cstheme="minorHAnsi"/>
        </w:rPr>
        <w:t>auscultatorio</w:t>
      </w:r>
      <w:proofErr w:type="spellEnd"/>
      <w:r w:rsidR="000412FC" w:rsidRPr="009939C6">
        <w:rPr>
          <w:rFonts w:cstheme="minorHAnsi"/>
        </w:rPr>
        <w:t xml:space="preserve"> fortemente indicativo di polmonite oppure in presenza di </w:t>
      </w:r>
      <w:r w:rsidRPr="009939C6">
        <w:rPr>
          <w:rFonts w:cstheme="minorHAnsi"/>
        </w:rPr>
        <w:t>l</w:t>
      </w:r>
      <w:r w:rsidR="008B412F" w:rsidRPr="009939C6">
        <w:rPr>
          <w:rFonts w:cstheme="minorHAnsi"/>
        </w:rPr>
        <w:t xml:space="preserve">eucocitosi neutrofila, </w:t>
      </w:r>
      <w:r w:rsidR="000412FC" w:rsidRPr="009939C6">
        <w:rPr>
          <w:rFonts w:cstheme="minorHAnsi"/>
        </w:rPr>
        <w:t>aumento della PCR</w:t>
      </w:r>
      <w:r w:rsidRPr="009939C6">
        <w:rPr>
          <w:rFonts w:cstheme="minorHAnsi"/>
        </w:rPr>
        <w:t xml:space="preserve">, oppure peggioramento </w:t>
      </w:r>
      <w:r w:rsidR="008B412F" w:rsidRPr="009939C6">
        <w:rPr>
          <w:rFonts w:cstheme="minorHAnsi"/>
        </w:rPr>
        <w:t xml:space="preserve">della </w:t>
      </w:r>
      <w:r w:rsidRPr="009939C6">
        <w:rPr>
          <w:rFonts w:cstheme="minorHAnsi"/>
        </w:rPr>
        <w:t>clinica del paziente: brivido scuotente, febbre in aumento, EOP</w:t>
      </w:r>
      <w:r w:rsidR="00A6272F" w:rsidRPr="009939C6">
        <w:rPr>
          <w:rFonts w:cstheme="minorHAnsi"/>
        </w:rPr>
        <w:t xml:space="preserve"> e parametri vitali</w:t>
      </w:r>
      <w:r w:rsidRPr="009939C6">
        <w:rPr>
          <w:rFonts w:cstheme="minorHAnsi"/>
        </w:rPr>
        <w:t xml:space="preserve"> in </w:t>
      </w:r>
      <w:r w:rsidR="00A6272F" w:rsidRPr="009939C6">
        <w:rPr>
          <w:rFonts w:cstheme="minorHAnsi"/>
        </w:rPr>
        <w:t>peggioramento</w:t>
      </w:r>
      <w:r w:rsidRPr="009939C6">
        <w:rPr>
          <w:rFonts w:cstheme="minorHAnsi"/>
        </w:rPr>
        <w:t>. Tutti questi fattori poss</w:t>
      </w:r>
      <w:r w:rsidR="00A6272F" w:rsidRPr="009939C6">
        <w:rPr>
          <w:rFonts w:cstheme="minorHAnsi"/>
        </w:rPr>
        <w:t xml:space="preserve">ono fare ipotizzare a una sovra </w:t>
      </w:r>
      <w:r w:rsidRPr="009939C6">
        <w:rPr>
          <w:rFonts w:cstheme="minorHAnsi"/>
        </w:rPr>
        <w:t>infezione batterica.</w:t>
      </w:r>
    </w:p>
    <w:p w14:paraId="1DDF7A07" w14:textId="77777777" w:rsidR="00187566" w:rsidRPr="009939C6" w:rsidRDefault="007B1C66" w:rsidP="000F7706">
      <w:pPr>
        <w:pStyle w:val="Paragrafoelenco"/>
        <w:numPr>
          <w:ilvl w:val="1"/>
          <w:numId w:val="6"/>
        </w:numPr>
        <w:spacing w:before="240" w:line="276" w:lineRule="auto"/>
        <w:jc w:val="both"/>
        <w:rPr>
          <w:rFonts w:cstheme="minorHAnsi"/>
        </w:rPr>
      </w:pPr>
      <w:proofErr w:type="spellStart"/>
      <w:r w:rsidRPr="009939C6">
        <w:rPr>
          <w:rFonts w:cstheme="minorHAnsi"/>
          <w:b/>
        </w:rPr>
        <w:t>Doxiclina</w:t>
      </w:r>
      <w:proofErr w:type="spellEnd"/>
      <w:r w:rsidRPr="009939C6">
        <w:rPr>
          <w:rFonts w:cstheme="minorHAnsi"/>
        </w:rPr>
        <w:t>: (evitare di assumere il farmaco dopo colazione pe</w:t>
      </w:r>
      <w:r w:rsidR="00635EFC" w:rsidRPr="009939C6">
        <w:rPr>
          <w:rFonts w:cstheme="minorHAnsi"/>
        </w:rPr>
        <w:t>r interferenza con cibi conten</w:t>
      </w:r>
      <w:r w:rsidR="00187566" w:rsidRPr="009939C6">
        <w:rPr>
          <w:rFonts w:cstheme="minorHAnsi"/>
        </w:rPr>
        <w:t>en</w:t>
      </w:r>
      <w:r w:rsidR="00635EFC" w:rsidRPr="009939C6">
        <w:rPr>
          <w:rFonts w:cstheme="minorHAnsi"/>
        </w:rPr>
        <w:t>ti</w:t>
      </w:r>
      <w:r w:rsidRPr="009939C6">
        <w:rPr>
          <w:rFonts w:cstheme="minorHAnsi"/>
        </w:rPr>
        <w:t xml:space="preserve"> latticini. Le compresse vanno assunte con abbondante quantità di acqua; si consiglia di rimanere in posizione eretta per almeno 30/60 minuti dopo assunzione</w:t>
      </w:r>
      <w:r w:rsidR="00187566" w:rsidRPr="009939C6">
        <w:rPr>
          <w:rFonts w:cstheme="minorHAnsi"/>
        </w:rPr>
        <w:t xml:space="preserve">). </w:t>
      </w:r>
      <w:r w:rsidR="00A95B4D" w:rsidRPr="009939C6">
        <w:rPr>
          <w:rFonts w:cstheme="minorHAnsi"/>
        </w:rPr>
        <w:t>Do</w:t>
      </w:r>
      <w:r w:rsidR="00187566" w:rsidRPr="009939C6">
        <w:rPr>
          <w:rFonts w:cstheme="minorHAnsi"/>
        </w:rPr>
        <w:t>s</w:t>
      </w:r>
      <w:r w:rsidR="00A95B4D" w:rsidRPr="009939C6">
        <w:rPr>
          <w:rFonts w:cstheme="minorHAnsi"/>
        </w:rPr>
        <w:t>a</w:t>
      </w:r>
      <w:r w:rsidR="00187566" w:rsidRPr="009939C6">
        <w:rPr>
          <w:rFonts w:cstheme="minorHAnsi"/>
        </w:rPr>
        <w:t>ggio</w:t>
      </w:r>
      <w:r w:rsidR="00A95B4D" w:rsidRPr="009939C6">
        <w:rPr>
          <w:rFonts w:cstheme="minorHAnsi"/>
        </w:rPr>
        <w:t>:</w:t>
      </w:r>
      <w:r w:rsidR="00A95B4D" w:rsidRPr="009939C6">
        <w:rPr>
          <w:rFonts w:cstheme="minorHAnsi"/>
          <w:b/>
        </w:rPr>
        <w:t xml:space="preserve"> </w:t>
      </w:r>
      <w:r w:rsidRPr="009939C6">
        <w:rPr>
          <w:rFonts w:cstheme="minorHAnsi"/>
          <w:b/>
        </w:rPr>
        <w:t xml:space="preserve">200 mg </w:t>
      </w:r>
      <w:r w:rsidR="00452AF8" w:rsidRPr="009939C6">
        <w:rPr>
          <w:rFonts w:cstheme="minorHAnsi"/>
          <w:b/>
        </w:rPr>
        <w:t xml:space="preserve">dose carico la prima somministrazione, quindi 100 mg x 2/die </w:t>
      </w:r>
      <w:r w:rsidRPr="009939C6">
        <w:rPr>
          <w:rFonts w:cstheme="minorHAnsi"/>
          <w:b/>
        </w:rPr>
        <w:t>per 5-7 giorni</w:t>
      </w:r>
      <w:r w:rsidRPr="009939C6">
        <w:rPr>
          <w:rFonts w:cstheme="minorHAnsi"/>
        </w:rPr>
        <w:t xml:space="preserve"> in base ad andamento clinico e</w:t>
      </w:r>
      <w:r w:rsidR="00A6272F" w:rsidRPr="009939C6">
        <w:rPr>
          <w:rFonts w:cstheme="minorHAnsi"/>
        </w:rPr>
        <w:t>d</w:t>
      </w:r>
      <w:r w:rsidRPr="009939C6">
        <w:rPr>
          <w:rFonts w:cstheme="minorHAnsi"/>
        </w:rPr>
        <w:t xml:space="preserve"> ematochimici</w:t>
      </w:r>
      <w:r w:rsidR="00187566" w:rsidRPr="009939C6">
        <w:rPr>
          <w:rFonts w:cstheme="minorHAnsi"/>
        </w:rPr>
        <w:t>.</w:t>
      </w:r>
    </w:p>
    <w:p w14:paraId="21591039" w14:textId="77777777" w:rsidR="00187566" w:rsidRPr="009939C6" w:rsidRDefault="007B1C66" w:rsidP="000F7706">
      <w:pPr>
        <w:pStyle w:val="Paragrafoelenco"/>
        <w:numPr>
          <w:ilvl w:val="1"/>
          <w:numId w:val="6"/>
        </w:numPr>
        <w:spacing w:before="240" w:line="276" w:lineRule="auto"/>
        <w:jc w:val="both"/>
        <w:rPr>
          <w:rFonts w:cstheme="minorHAnsi"/>
        </w:rPr>
      </w:pPr>
      <w:proofErr w:type="spellStart"/>
      <w:r w:rsidRPr="009939C6">
        <w:rPr>
          <w:rFonts w:cstheme="minorHAnsi"/>
          <w:b/>
        </w:rPr>
        <w:t>Cefixima</w:t>
      </w:r>
      <w:proofErr w:type="spellEnd"/>
      <w:r w:rsidRPr="009939C6">
        <w:rPr>
          <w:rFonts w:cstheme="minorHAnsi"/>
          <w:b/>
        </w:rPr>
        <w:t>: 400 mg/die per 5 giorni</w:t>
      </w:r>
      <w:r w:rsidRPr="009939C6">
        <w:rPr>
          <w:rFonts w:cstheme="minorHAnsi"/>
        </w:rPr>
        <w:t xml:space="preserve"> in base ad andamento clinico ed ematochimici</w:t>
      </w:r>
      <w:r w:rsidR="00A6272F" w:rsidRPr="009939C6">
        <w:rPr>
          <w:rFonts w:cstheme="minorHAnsi"/>
        </w:rPr>
        <w:t>.</w:t>
      </w:r>
    </w:p>
    <w:p w14:paraId="70D01E97" w14:textId="77777777" w:rsidR="001D41E6" w:rsidRPr="009939C6" w:rsidRDefault="007B1C66" w:rsidP="000F7706">
      <w:pPr>
        <w:spacing w:before="240" w:after="0" w:line="276" w:lineRule="auto"/>
        <w:ind w:left="1440"/>
        <w:jc w:val="both"/>
        <w:rPr>
          <w:rFonts w:cstheme="minorHAnsi"/>
        </w:rPr>
      </w:pPr>
      <w:r w:rsidRPr="009939C6">
        <w:rPr>
          <w:rFonts w:cstheme="minorHAnsi"/>
        </w:rPr>
        <w:t>N.B.</w:t>
      </w:r>
      <w:r w:rsidR="00913D2F" w:rsidRPr="009939C6">
        <w:rPr>
          <w:rFonts w:cstheme="minorHAnsi"/>
        </w:rPr>
        <w:t xml:space="preserve"> </w:t>
      </w:r>
      <w:r w:rsidR="001D41E6" w:rsidRPr="009939C6">
        <w:rPr>
          <w:rFonts w:cstheme="minorHAnsi"/>
        </w:rPr>
        <w:t xml:space="preserve">- </w:t>
      </w:r>
      <w:r w:rsidR="00913D2F" w:rsidRPr="009939C6">
        <w:rPr>
          <w:rFonts w:cstheme="minorHAnsi"/>
        </w:rPr>
        <w:t>Se impossibilità a</w:t>
      </w:r>
      <w:r w:rsidR="00A6272F" w:rsidRPr="009939C6">
        <w:rPr>
          <w:rFonts w:cstheme="minorHAnsi"/>
        </w:rPr>
        <w:t>d</w:t>
      </w:r>
      <w:r w:rsidR="00913D2F" w:rsidRPr="009939C6">
        <w:rPr>
          <w:rFonts w:cstheme="minorHAnsi"/>
        </w:rPr>
        <w:t xml:space="preserve"> assunzione per </w:t>
      </w:r>
      <w:proofErr w:type="spellStart"/>
      <w:r w:rsidR="00913D2F" w:rsidRPr="009939C6">
        <w:rPr>
          <w:rFonts w:cstheme="minorHAnsi"/>
        </w:rPr>
        <w:t>os</w:t>
      </w:r>
      <w:proofErr w:type="spellEnd"/>
      <w:r w:rsidR="00913D2F" w:rsidRPr="009939C6">
        <w:rPr>
          <w:rFonts w:cstheme="minorHAnsi"/>
        </w:rPr>
        <w:t xml:space="preserve">, valutare </w:t>
      </w:r>
      <w:r w:rsidR="00540600" w:rsidRPr="009939C6">
        <w:rPr>
          <w:rFonts w:cstheme="minorHAnsi"/>
        </w:rPr>
        <w:t>C</w:t>
      </w:r>
      <w:r w:rsidR="00EB6F02" w:rsidRPr="009939C6">
        <w:rPr>
          <w:rFonts w:cstheme="minorHAnsi"/>
        </w:rPr>
        <w:t>eftriaxone</w:t>
      </w:r>
      <w:r w:rsidR="00913D2F" w:rsidRPr="009939C6">
        <w:rPr>
          <w:rFonts w:cstheme="minorHAnsi"/>
        </w:rPr>
        <w:t xml:space="preserve"> 1g/die IM. </w:t>
      </w:r>
    </w:p>
    <w:p w14:paraId="7B32766C" w14:textId="77777777" w:rsidR="001D41E6" w:rsidRPr="009939C6" w:rsidRDefault="001D41E6" w:rsidP="000F7706">
      <w:pPr>
        <w:spacing w:after="0" w:line="276" w:lineRule="auto"/>
        <w:ind w:left="1440"/>
        <w:jc w:val="both"/>
        <w:rPr>
          <w:rFonts w:cstheme="minorHAnsi"/>
        </w:rPr>
      </w:pPr>
      <w:r w:rsidRPr="009939C6">
        <w:rPr>
          <w:rFonts w:cstheme="minorHAnsi"/>
        </w:rPr>
        <w:t xml:space="preserve">- </w:t>
      </w:r>
      <w:r w:rsidR="00913D2F" w:rsidRPr="009939C6">
        <w:rPr>
          <w:rFonts w:cstheme="minorHAnsi"/>
        </w:rPr>
        <w:t>Meglio n</w:t>
      </w:r>
      <w:r w:rsidR="007B1C66" w:rsidRPr="009939C6">
        <w:rPr>
          <w:rFonts w:cstheme="minorHAnsi"/>
        </w:rPr>
        <w:t xml:space="preserve">on associare </w:t>
      </w:r>
      <w:r w:rsidR="00913D2F" w:rsidRPr="009939C6">
        <w:rPr>
          <w:rFonts w:cstheme="minorHAnsi"/>
        </w:rPr>
        <w:t>Penicilline, vedi scheda tecnica, per possibili interferenze con Tetracicline</w:t>
      </w:r>
    </w:p>
    <w:p w14:paraId="59F5F8E8" w14:textId="77777777" w:rsidR="00540600" w:rsidRPr="009939C6" w:rsidRDefault="001D41E6" w:rsidP="000F7706">
      <w:pPr>
        <w:spacing w:line="276" w:lineRule="auto"/>
        <w:ind w:left="1440"/>
        <w:jc w:val="both"/>
        <w:rPr>
          <w:rFonts w:cstheme="minorHAnsi"/>
        </w:rPr>
      </w:pPr>
      <w:r w:rsidRPr="009939C6">
        <w:rPr>
          <w:rFonts w:cstheme="minorHAnsi"/>
        </w:rPr>
        <w:t xml:space="preserve">- </w:t>
      </w:r>
      <w:r w:rsidR="00B77B34" w:rsidRPr="009939C6">
        <w:rPr>
          <w:rFonts w:cstheme="minorHAnsi"/>
        </w:rPr>
        <w:t>In caso di difficoltà circa la terapia in casi dubbi/complessi, è possibile sentire il parere del collega infettivologo (Infettivologia S. Croce e Carle: 0171616814)</w:t>
      </w:r>
    </w:p>
    <w:p w14:paraId="4C5AB6DE" w14:textId="77777777" w:rsidR="00187566" w:rsidRPr="009939C6" w:rsidRDefault="00E8350B" w:rsidP="000F7706">
      <w:pPr>
        <w:pStyle w:val="Paragrafoelenco"/>
        <w:numPr>
          <w:ilvl w:val="1"/>
          <w:numId w:val="2"/>
        </w:numPr>
        <w:spacing w:before="240" w:line="276" w:lineRule="auto"/>
        <w:jc w:val="both"/>
        <w:rPr>
          <w:rFonts w:cstheme="minorHAnsi"/>
        </w:rPr>
      </w:pPr>
      <w:r w:rsidRPr="009939C6">
        <w:rPr>
          <w:rFonts w:cstheme="minorHAnsi"/>
          <w:b/>
        </w:rPr>
        <w:t>EBPM</w:t>
      </w:r>
      <w:r w:rsidRPr="009939C6">
        <w:rPr>
          <w:rFonts w:cstheme="minorHAnsi"/>
        </w:rPr>
        <w:t xml:space="preserve">: </w:t>
      </w:r>
    </w:p>
    <w:p w14:paraId="4F2653A4" w14:textId="77777777" w:rsidR="00187566" w:rsidRPr="009939C6" w:rsidRDefault="00A95B4D" w:rsidP="000F7706">
      <w:pPr>
        <w:pStyle w:val="Paragrafoelenco"/>
        <w:numPr>
          <w:ilvl w:val="2"/>
          <w:numId w:val="2"/>
        </w:numPr>
        <w:spacing w:before="240" w:line="276" w:lineRule="auto"/>
        <w:jc w:val="both"/>
        <w:rPr>
          <w:rFonts w:cstheme="minorHAnsi"/>
        </w:rPr>
      </w:pPr>
      <w:r w:rsidRPr="009939C6">
        <w:rPr>
          <w:rFonts w:cstheme="minorHAnsi"/>
        </w:rPr>
        <w:t xml:space="preserve">Raccomandata </w:t>
      </w:r>
      <w:r w:rsidR="00E8350B" w:rsidRPr="009939C6">
        <w:rPr>
          <w:rFonts w:cstheme="minorHAnsi"/>
        </w:rPr>
        <w:t xml:space="preserve">se presenza di fattori di rischio per </w:t>
      </w:r>
      <w:proofErr w:type="spellStart"/>
      <w:r w:rsidR="00E8350B" w:rsidRPr="009939C6">
        <w:rPr>
          <w:rFonts w:cstheme="minorHAnsi"/>
        </w:rPr>
        <w:t>trombofilia</w:t>
      </w:r>
      <w:proofErr w:type="spellEnd"/>
      <w:r w:rsidR="00E8350B" w:rsidRPr="009939C6">
        <w:rPr>
          <w:rFonts w:cstheme="minorHAnsi"/>
        </w:rPr>
        <w:t xml:space="preserve"> (es. </w:t>
      </w:r>
      <w:r w:rsidR="00913D2F" w:rsidRPr="009939C6">
        <w:rPr>
          <w:rFonts w:cstheme="minorHAnsi"/>
        </w:rPr>
        <w:t xml:space="preserve">precedente evento trombo-embolico, </w:t>
      </w:r>
      <w:r w:rsidR="00E8350B" w:rsidRPr="009939C6">
        <w:rPr>
          <w:rFonts w:cstheme="minorHAnsi"/>
        </w:rPr>
        <w:t>paziente sovrappeso,</w:t>
      </w:r>
      <w:r w:rsidR="00913D2F" w:rsidRPr="009939C6">
        <w:rPr>
          <w:rFonts w:cstheme="minorHAnsi"/>
        </w:rPr>
        <w:t xml:space="preserve"> forte fumatore, immobilizzazione </w:t>
      </w:r>
      <w:proofErr w:type="spellStart"/>
      <w:proofErr w:type="gramStart"/>
      <w:r w:rsidR="00913D2F" w:rsidRPr="009939C6">
        <w:rPr>
          <w:rFonts w:cstheme="minorHAnsi"/>
        </w:rPr>
        <w:t>prolungata,precedenti</w:t>
      </w:r>
      <w:proofErr w:type="spellEnd"/>
      <w:proofErr w:type="gramEnd"/>
      <w:r w:rsidR="00913D2F" w:rsidRPr="009939C6">
        <w:rPr>
          <w:rFonts w:cstheme="minorHAnsi"/>
        </w:rPr>
        <w:t xml:space="preserve"> </w:t>
      </w:r>
      <w:r w:rsidR="00E8350B" w:rsidRPr="009939C6">
        <w:rPr>
          <w:rFonts w:cstheme="minorHAnsi"/>
        </w:rPr>
        <w:t>m</w:t>
      </w:r>
      <w:r w:rsidR="00913D2F" w:rsidRPr="009939C6">
        <w:rPr>
          <w:rFonts w:cstheme="minorHAnsi"/>
        </w:rPr>
        <w:t>alattie cardiologiche…</w:t>
      </w:r>
      <w:r w:rsidR="00E8350B" w:rsidRPr="009939C6">
        <w:rPr>
          <w:rFonts w:cstheme="minorHAnsi"/>
        </w:rPr>
        <w:t>)</w:t>
      </w:r>
      <w:r w:rsidR="00A6272F" w:rsidRPr="009939C6">
        <w:rPr>
          <w:rFonts w:cstheme="minorHAnsi"/>
        </w:rPr>
        <w:t>.</w:t>
      </w:r>
    </w:p>
    <w:p w14:paraId="0C639120" w14:textId="77777777" w:rsidR="00187566" w:rsidRPr="009939C6" w:rsidRDefault="00A95B4D" w:rsidP="000F7706">
      <w:pPr>
        <w:pStyle w:val="Paragrafoelenco"/>
        <w:numPr>
          <w:ilvl w:val="2"/>
          <w:numId w:val="2"/>
        </w:numPr>
        <w:spacing w:before="240" w:line="276" w:lineRule="auto"/>
        <w:jc w:val="both"/>
        <w:rPr>
          <w:rFonts w:cstheme="minorHAnsi"/>
        </w:rPr>
      </w:pPr>
      <w:r w:rsidRPr="009939C6">
        <w:rPr>
          <w:rFonts w:cstheme="minorHAnsi"/>
        </w:rPr>
        <w:t>I pazienti già in terapia anticoagulante orale proseguono la terapia in atto</w:t>
      </w:r>
      <w:r w:rsidR="00A6272F" w:rsidRPr="009939C6">
        <w:rPr>
          <w:rFonts w:cstheme="minorHAnsi"/>
        </w:rPr>
        <w:t>.</w:t>
      </w:r>
    </w:p>
    <w:p w14:paraId="62C3243B" w14:textId="77777777" w:rsidR="00187566" w:rsidRPr="009939C6" w:rsidRDefault="00A95B4D" w:rsidP="000F7706">
      <w:pPr>
        <w:pStyle w:val="Paragrafoelenco"/>
        <w:numPr>
          <w:ilvl w:val="2"/>
          <w:numId w:val="2"/>
        </w:numPr>
        <w:spacing w:before="240" w:line="276" w:lineRule="auto"/>
        <w:jc w:val="both"/>
        <w:rPr>
          <w:rFonts w:cstheme="minorHAnsi"/>
        </w:rPr>
      </w:pPr>
      <w:r w:rsidRPr="009939C6">
        <w:rPr>
          <w:rFonts w:cstheme="minorHAnsi"/>
        </w:rPr>
        <w:t>I paz</w:t>
      </w:r>
      <w:r w:rsidR="00A6272F" w:rsidRPr="009939C6">
        <w:rPr>
          <w:rFonts w:cstheme="minorHAnsi"/>
        </w:rPr>
        <w:t>ienti in terapia antiaggregante</w:t>
      </w:r>
      <w:r w:rsidRPr="009939C6">
        <w:rPr>
          <w:rFonts w:cstheme="minorHAnsi"/>
        </w:rPr>
        <w:t xml:space="preserve"> con ASA che iniziano EPBM dovrebbero sospendere l’acido acetilsalicilico.</w:t>
      </w:r>
    </w:p>
    <w:p w14:paraId="7351E0B2" w14:textId="77777777" w:rsidR="00A12DFA" w:rsidRPr="009939C6" w:rsidRDefault="00A12DFA" w:rsidP="000F7706">
      <w:pPr>
        <w:pStyle w:val="Paragrafoelenco"/>
        <w:numPr>
          <w:ilvl w:val="2"/>
          <w:numId w:val="2"/>
        </w:numPr>
        <w:spacing w:before="240" w:line="276" w:lineRule="auto"/>
        <w:jc w:val="both"/>
        <w:rPr>
          <w:rFonts w:cstheme="minorHAnsi"/>
        </w:rPr>
      </w:pPr>
      <w:r w:rsidRPr="009939C6">
        <w:rPr>
          <w:rFonts w:cstheme="minorHAnsi"/>
        </w:rPr>
        <w:t>In fornitura diretta (presente il farmaco in sede)</w:t>
      </w:r>
    </w:p>
    <w:p w14:paraId="2725F0C5" w14:textId="77777777" w:rsidR="001E6FC8" w:rsidRPr="009939C6" w:rsidRDefault="00187566" w:rsidP="000F7706">
      <w:pPr>
        <w:pStyle w:val="Paragrafoelenco"/>
        <w:numPr>
          <w:ilvl w:val="2"/>
          <w:numId w:val="2"/>
        </w:numPr>
        <w:spacing w:before="240" w:line="276" w:lineRule="auto"/>
        <w:jc w:val="both"/>
        <w:rPr>
          <w:rFonts w:cstheme="minorHAnsi"/>
        </w:rPr>
      </w:pPr>
      <w:r w:rsidRPr="009939C6">
        <w:rPr>
          <w:rFonts w:cstheme="minorHAnsi"/>
        </w:rPr>
        <w:t>Dosaggio</w:t>
      </w:r>
      <w:r w:rsidR="00A95B4D" w:rsidRPr="009939C6">
        <w:rPr>
          <w:rFonts w:cstheme="minorHAnsi"/>
          <w:b/>
        </w:rPr>
        <w:t xml:space="preserve">: </w:t>
      </w:r>
    </w:p>
    <w:p w14:paraId="759282D1" w14:textId="77777777" w:rsidR="001E6FC8" w:rsidRPr="009939C6" w:rsidRDefault="001E6FC8" w:rsidP="000F7706">
      <w:pPr>
        <w:pStyle w:val="Paragrafoelenco"/>
        <w:spacing w:before="240" w:line="276" w:lineRule="auto"/>
        <w:ind w:left="2160"/>
        <w:jc w:val="both"/>
        <w:rPr>
          <w:rFonts w:cstheme="minorHAnsi"/>
          <w:b/>
        </w:rPr>
      </w:pPr>
      <w:r w:rsidRPr="009939C6">
        <w:rPr>
          <w:rFonts w:cstheme="minorHAnsi"/>
          <w:b/>
        </w:rPr>
        <w:t xml:space="preserve">4000 UI/die in unica somministrazione: </w:t>
      </w:r>
      <w:r w:rsidRPr="009939C6">
        <w:rPr>
          <w:rFonts w:cstheme="minorHAnsi"/>
        </w:rPr>
        <w:t>In fase iniziale può essere sufficiente un dosaggio profilattico</w:t>
      </w:r>
    </w:p>
    <w:p w14:paraId="10B1702F" w14:textId="77777777" w:rsidR="00A95B4D" w:rsidRPr="009939C6" w:rsidRDefault="00A95B4D" w:rsidP="000F7706">
      <w:pPr>
        <w:pStyle w:val="Paragrafoelenco"/>
        <w:spacing w:before="240" w:line="276" w:lineRule="auto"/>
        <w:ind w:left="2160"/>
        <w:jc w:val="both"/>
        <w:rPr>
          <w:rFonts w:cstheme="minorHAnsi"/>
        </w:rPr>
      </w:pPr>
      <w:r w:rsidRPr="009939C6">
        <w:rPr>
          <w:rFonts w:cstheme="minorHAnsi"/>
          <w:b/>
        </w:rPr>
        <w:t>6000 UI/die in unica somministrazione</w:t>
      </w:r>
      <w:r w:rsidRPr="009939C6">
        <w:rPr>
          <w:rFonts w:cstheme="minorHAnsi"/>
        </w:rPr>
        <w:t xml:space="preserve"> (</w:t>
      </w:r>
      <w:r w:rsidR="004C6718" w:rsidRPr="009939C6">
        <w:rPr>
          <w:rFonts w:cstheme="minorHAnsi"/>
        </w:rPr>
        <w:t>questo è il dosaggio</w:t>
      </w:r>
      <w:r w:rsidR="00A6272F" w:rsidRPr="009939C6">
        <w:rPr>
          <w:rFonts w:cstheme="minorHAnsi"/>
        </w:rPr>
        <w:t xml:space="preserve"> utilizzato nei pz ospedalizzati, ossia una via di mezzo tra profilassi e terapia, ma </w:t>
      </w:r>
      <w:r w:rsidRPr="009939C6">
        <w:rPr>
          <w:rFonts w:cstheme="minorHAnsi"/>
        </w:rPr>
        <w:t xml:space="preserve">da valutare in base al paziente, Kg </w:t>
      </w:r>
      <w:r w:rsidR="00A6272F" w:rsidRPr="009939C6">
        <w:rPr>
          <w:rFonts w:cstheme="minorHAnsi"/>
        </w:rPr>
        <w:t>e</w:t>
      </w:r>
      <w:r w:rsidR="00A12DFA" w:rsidRPr="009939C6">
        <w:rPr>
          <w:rFonts w:cstheme="minorHAnsi"/>
        </w:rPr>
        <w:t xml:space="preserve"> condizioni cliniche generali).</w:t>
      </w:r>
    </w:p>
    <w:p w14:paraId="0229700D" w14:textId="77777777" w:rsidR="00C24699" w:rsidRPr="009939C6" w:rsidRDefault="00E8350B" w:rsidP="000F7706">
      <w:pPr>
        <w:pStyle w:val="Paragrafoelenco"/>
        <w:numPr>
          <w:ilvl w:val="1"/>
          <w:numId w:val="2"/>
        </w:numPr>
        <w:spacing w:before="240" w:line="276" w:lineRule="auto"/>
        <w:jc w:val="both"/>
        <w:rPr>
          <w:rFonts w:cstheme="minorHAnsi"/>
          <w:b/>
        </w:rPr>
      </w:pPr>
      <w:r w:rsidRPr="009939C6">
        <w:rPr>
          <w:rFonts w:cstheme="minorHAnsi"/>
        </w:rPr>
        <w:t>Valu</w:t>
      </w:r>
      <w:r w:rsidR="00C24699" w:rsidRPr="009939C6">
        <w:rPr>
          <w:rFonts w:cstheme="minorHAnsi"/>
        </w:rPr>
        <w:t xml:space="preserve">tare </w:t>
      </w:r>
      <w:r w:rsidR="00C24699" w:rsidRPr="009939C6">
        <w:rPr>
          <w:rFonts w:cstheme="minorHAnsi"/>
          <w:b/>
        </w:rPr>
        <w:t>idratazione</w:t>
      </w:r>
      <w:r w:rsidR="00C24699" w:rsidRPr="009939C6">
        <w:rPr>
          <w:rFonts w:cstheme="minorHAnsi"/>
        </w:rPr>
        <w:t xml:space="preserve"> </w:t>
      </w:r>
    </w:p>
    <w:p w14:paraId="0ABC6650" w14:textId="77777777" w:rsidR="00E8350B" w:rsidRPr="009939C6" w:rsidRDefault="00C24699" w:rsidP="000F7706">
      <w:pPr>
        <w:pStyle w:val="Paragrafoelenco"/>
        <w:numPr>
          <w:ilvl w:val="1"/>
          <w:numId w:val="2"/>
        </w:numPr>
        <w:spacing w:before="240" w:line="276" w:lineRule="auto"/>
        <w:jc w:val="both"/>
        <w:rPr>
          <w:rFonts w:cstheme="minorHAnsi"/>
          <w:b/>
        </w:rPr>
      </w:pPr>
      <w:r w:rsidRPr="009939C6">
        <w:rPr>
          <w:rFonts w:cstheme="minorHAnsi"/>
        </w:rPr>
        <w:t xml:space="preserve">Valutare </w:t>
      </w:r>
      <w:r w:rsidRPr="009939C6">
        <w:rPr>
          <w:rFonts w:cstheme="minorHAnsi"/>
          <w:b/>
        </w:rPr>
        <w:t>o</w:t>
      </w:r>
      <w:r w:rsidR="00E8350B" w:rsidRPr="009939C6">
        <w:rPr>
          <w:rFonts w:cstheme="minorHAnsi"/>
          <w:b/>
        </w:rPr>
        <w:t>ssigenoterapia</w:t>
      </w:r>
      <w:r w:rsidR="00B61EA6" w:rsidRPr="009939C6">
        <w:rPr>
          <w:rFonts w:cstheme="minorHAnsi"/>
        </w:rPr>
        <w:t xml:space="preserve">, per pz che </w:t>
      </w:r>
      <w:proofErr w:type="spellStart"/>
      <w:r w:rsidR="00B61EA6" w:rsidRPr="009939C6">
        <w:rPr>
          <w:rFonts w:cstheme="minorHAnsi"/>
        </w:rPr>
        <w:t>desatura</w:t>
      </w:r>
      <w:proofErr w:type="spellEnd"/>
      <w:r w:rsidR="00655DE0" w:rsidRPr="009939C6">
        <w:rPr>
          <w:rFonts w:cstheme="minorHAnsi"/>
        </w:rPr>
        <w:t>. Compilazione diretta del PT apposito (vedi i due documenti x OLT: PT e modalità di fornitura distretti SUD e NORD).</w:t>
      </w:r>
    </w:p>
    <w:p w14:paraId="78ADB865" w14:textId="77777777" w:rsidR="0034627E" w:rsidRPr="009939C6" w:rsidRDefault="00812399" w:rsidP="000F7706">
      <w:pPr>
        <w:pStyle w:val="Paragrafoelenco"/>
        <w:numPr>
          <w:ilvl w:val="0"/>
          <w:numId w:val="2"/>
        </w:numPr>
        <w:spacing w:before="240" w:line="276" w:lineRule="auto"/>
        <w:jc w:val="both"/>
        <w:rPr>
          <w:rFonts w:cstheme="minorHAnsi"/>
        </w:rPr>
      </w:pPr>
      <w:r w:rsidRPr="009939C6">
        <w:rPr>
          <w:rFonts w:cstheme="minorHAnsi"/>
        </w:rPr>
        <w:t>Monitoraggio</w:t>
      </w:r>
      <w:r w:rsidR="00D36D0B" w:rsidRPr="009939C6">
        <w:rPr>
          <w:rFonts w:cstheme="minorHAnsi"/>
        </w:rPr>
        <w:t xml:space="preserve"> clinico dei pazienti Covid-19 positivi (accertati mediante tampone) seguiti a domicilio, si prevede un monitoraggio diretto con visita domiciliare</w:t>
      </w:r>
      <w:r w:rsidR="000F7706">
        <w:rPr>
          <w:rFonts w:cstheme="minorHAnsi"/>
        </w:rPr>
        <w:t xml:space="preserve"> </w:t>
      </w:r>
      <w:r w:rsidR="00D36D0B" w:rsidRPr="009939C6">
        <w:rPr>
          <w:rFonts w:cstheme="minorHAnsi"/>
        </w:rPr>
        <w:t xml:space="preserve">a seconda delle necessità cliniche. Oltre </w:t>
      </w:r>
      <w:r w:rsidR="00D36D0B" w:rsidRPr="009939C6">
        <w:rPr>
          <w:rFonts w:cstheme="minorHAnsi"/>
        </w:rPr>
        <w:lastRenderedPageBreak/>
        <w:t>alle visite domiciliari, il monitoraggio si avvale di</w:t>
      </w:r>
      <w:r w:rsidR="001E6FC8" w:rsidRPr="009939C6">
        <w:rPr>
          <w:rFonts w:cstheme="minorHAnsi"/>
        </w:rPr>
        <w:t xml:space="preserve"> </w:t>
      </w:r>
      <w:proofErr w:type="spellStart"/>
      <w:r w:rsidR="00187566" w:rsidRPr="009939C6">
        <w:rPr>
          <w:rFonts w:cstheme="minorHAnsi"/>
        </w:rPr>
        <w:t>s</w:t>
      </w:r>
      <w:r w:rsidR="00D36D0B" w:rsidRPr="009939C6">
        <w:rPr>
          <w:rFonts w:cstheme="minorHAnsi"/>
        </w:rPr>
        <w:t>aturimetria</w:t>
      </w:r>
      <w:proofErr w:type="spellEnd"/>
      <w:r w:rsidR="00D36D0B" w:rsidRPr="009939C6">
        <w:rPr>
          <w:rFonts w:cstheme="minorHAnsi"/>
        </w:rPr>
        <w:t xml:space="preserve"> effettuata direttamente dal paziente (</w:t>
      </w:r>
      <w:r w:rsidR="00D36D0B" w:rsidRPr="00362416">
        <w:rPr>
          <w:rFonts w:cstheme="minorHAnsi"/>
        </w:rPr>
        <w:t xml:space="preserve">con </w:t>
      </w:r>
      <w:proofErr w:type="spellStart"/>
      <w:r w:rsidR="00D36D0B" w:rsidRPr="00362416">
        <w:rPr>
          <w:rFonts w:cstheme="minorHAnsi"/>
        </w:rPr>
        <w:t>saturimetr</w:t>
      </w:r>
      <w:r w:rsidR="00D36D0B" w:rsidRPr="000F7706">
        <w:rPr>
          <w:rFonts w:cstheme="minorHAnsi"/>
        </w:rPr>
        <w:t>o</w:t>
      </w:r>
      <w:proofErr w:type="spellEnd"/>
      <w:r w:rsidR="00362416" w:rsidRPr="000F7706">
        <w:rPr>
          <w:rFonts w:cstheme="minorHAnsi"/>
        </w:rPr>
        <w:t xml:space="preserve">, qualora disponibile, </w:t>
      </w:r>
      <w:r w:rsidR="00D36D0B" w:rsidRPr="000F7706">
        <w:rPr>
          <w:rFonts w:cstheme="minorHAnsi"/>
        </w:rPr>
        <w:t>rilasciato</w:t>
      </w:r>
      <w:r w:rsidR="00D36D0B" w:rsidRPr="00362416">
        <w:rPr>
          <w:rFonts w:cstheme="minorHAnsi"/>
        </w:rPr>
        <w:t xml:space="preserve"> al domicilio del paziente da parte del medico delle U.S.C.A.)</w:t>
      </w:r>
      <w:r w:rsidR="00187566" w:rsidRPr="009939C6">
        <w:rPr>
          <w:rFonts w:cstheme="minorHAnsi"/>
        </w:rPr>
        <w:t xml:space="preserve"> e comunicata telefonicamente.</w:t>
      </w:r>
    </w:p>
    <w:p w14:paraId="3B87E767" w14:textId="77777777" w:rsidR="00655DE0" w:rsidRPr="009939C6" w:rsidRDefault="00655DE0" w:rsidP="000F7706">
      <w:pPr>
        <w:pStyle w:val="Paragrafoelenco"/>
        <w:spacing w:before="240" w:line="276" w:lineRule="auto"/>
        <w:jc w:val="both"/>
        <w:rPr>
          <w:rFonts w:cstheme="minorHAnsi"/>
        </w:rPr>
      </w:pPr>
    </w:p>
    <w:p w14:paraId="67C53A8D" w14:textId="77777777" w:rsidR="00D36D0B" w:rsidRPr="009939C6" w:rsidRDefault="00D36D0B" w:rsidP="000F7706">
      <w:pPr>
        <w:pStyle w:val="Paragrafoelenco"/>
        <w:numPr>
          <w:ilvl w:val="0"/>
          <w:numId w:val="2"/>
        </w:numPr>
        <w:spacing w:before="240" w:line="276" w:lineRule="auto"/>
        <w:jc w:val="both"/>
        <w:rPr>
          <w:rFonts w:cstheme="minorHAnsi"/>
        </w:rPr>
      </w:pPr>
      <w:r w:rsidRPr="009939C6">
        <w:rPr>
          <w:rFonts w:cstheme="minorHAnsi"/>
        </w:rPr>
        <w:t>Criteri di ospedalizzazione:</w:t>
      </w:r>
    </w:p>
    <w:p w14:paraId="14640ECA" w14:textId="77777777" w:rsidR="00D36D0B" w:rsidRPr="009939C6" w:rsidRDefault="00D36D0B" w:rsidP="000F7706">
      <w:pPr>
        <w:pStyle w:val="Paragrafoelenco"/>
        <w:numPr>
          <w:ilvl w:val="1"/>
          <w:numId w:val="2"/>
        </w:numPr>
        <w:spacing w:before="240" w:line="276" w:lineRule="auto"/>
        <w:jc w:val="both"/>
        <w:rPr>
          <w:rFonts w:cstheme="minorHAnsi"/>
        </w:rPr>
      </w:pPr>
      <w:r w:rsidRPr="009939C6">
        <w:rPr>
          <w:rFonts w:cstheme="minorHAnsi"/>
        </w:rPr>
        <w:t xml:space="preserve">Saturazione &lt; 93% in aria ambiente (a riposo o dopo </w:t>
      </w:r>
      <w:proofErr w:type="spellStart"/>
      <w:r w:rsidRPr="009939C6">
        <w:rPr>
          <w:rFonts w:cstheme="minorHAnsi"/>
        </w:rPr>
        <w:t>walking</w:t>
      </w:r>
      <w:proofErr w:type="spellEnd"/>
      <w:r w:rsidRPr="009939C6">
        <w:rPr>
          <w:rFonts w:cstheme="minorHAnsi"/>
        </w:rPr>
        <w:t xml:space="preserve"> test)</w:t>
      </w:r>
      <w:r w:rsidR="00CC52AC" w:rsidRPr="009939C6">
        <w:rPr>
          <w:rFonts w:cstheme="minorHAnsi"/>
        </w:rPr>
        <w:t>.</w:t>
      </w:r>
    </w:p>
    <w:p w14:paraId="5D980D82" w14:textId="77777777" w:rsidR="005C489A" w:rsidRPr="009939C6" w:rsidRDefault="00D36D0B" w:rsidP="000F7706">
      <w:pPr>
        <w:pStyle w:val="Paragrafoelenco"/>
        <w:numPr>
          <w:ilvl w:val="1"/>
          <w:numId w:val="2"/>
        </w:numPr>
        <w:spacing w:before="240" w:line="276" w:lineRule="auto"/>
        <w:jc w:val="both"/>
        <w:rPr>
          <w:rFonts w:cstheme="minorHAnsi"/>
        </w:rPr>
      </w:pPr>
      <w:r w:rsidRPr="009939C6">
        <w:rPr>
          <w:rFonts w:cstheme="minorHAnsi"/>
        </w:rPr>
        <w:t>Aumento transaminasi o linfopenia (conta linfociti totali &lt; 500), indipendentemente dalla sintomatologia (in quanto indici prognostici sfavorevoli)</w:t>
      </w:r>
      <w:r w:rsidR="00CC52AC" w:rsidRPr="009939C6">
        <w:rPr>
          <w:rFonts w:cstheme="minorHAnsi"/>
        </w:rPr>
        <w:t>.</w:t>
      </w:r>
    </w:p>
    <w:p w14:paraId="2D4B21EC" w14:textId="77777777" w:rsidR="00655DE0" w:rsidRPr="009939C6" w:rsidRDefault="00655DE0" w:rsidP="000F7706">
      <w:pPr>
        <w:pStyle w:val="Paragrafoelenco"/>
        <w:spacing w:before="240" w:line="276" w:lineRule="auto"/>
        <w:ind w:left="1440"/>
        <w:jc w:val="both"/>
        <w:rPr>
          <w:rFonts w:cstheme="minorHAnsi"/>
        </w:rPr>
      </w:pPr>
    </w:p>
    <w:p w14:paraId="36613194" w14:textId="77777777" w:rsidR="00795529" w:rsidRPr="009939C6" w:rsidRDefault="00401FF7" w:rsidP="000F7706">
      <w:pPr>
        <w:pStyle w:val="Paragrafoelenco"/>
        <w:numPr>
          <w:ilvl w:val="0"/>
          <w:numId w:val="2"/>
        </w:numPr>
        <w:spacing w:before="240" w:line="276" w:lineRule="auto"/>
        <w:jc w:val="both"/>
        <w:rPr>
          <w:rFonts w:cstheme="minorHAnsi"/>
        </w:rPr>
      </w:pPr>
      <w:r w:rsidRPr="009939C6">
        <w:rPr>
          <w:rFonts w:cstheme="minorHAnsi"/>
        </w:rPr>
        <w:t xml:space="preserve">Al termine della presa </w:t>
      </w:r>
      <w:r w:rsidR="00B61EA6" w:rsidRPr="009939C6">
        <w:rPr>
          <w:rFonts w:cstheme="minorHAnsi"/>
        </w:rPr>
        <w:t>in carico da parte del medico USCA</w:t>
      </w:r>
      <w:r w:rsidRPr="009939C6">
        <w:rPr>
          <w:rFonts w:cstheme="minorHAnsi"/>
        </w:rPr>
        <w:t xml:space="preserve"> </w:t>
      </w:r>
      <w:r w:rsidR="000F7706">
        <w:rPr>
          <w:rFonts w:cstheme="minorHAnsi"/>
        </w:rPr>
        <w:t xml:space="preserve">si prevede un </w:t>
      </w:r>
      <w:r w:rsidRPr="009939C6">
        <w:rPr>
          <w:rFonts w:cstheme="minorHAnsi"/>
        </w:rPr>
        <w:t>contatto con il medico curante per</w:t>
      </w:r>
      <w:r w:rsidR="00522E81" w:rsidRPr="009939C6">
        <w:rPr>
          <w:rFonts w:cstheme="minorHAnsi"/>
        </w:rPr>
        <w:t xml:space="preserve"> valutare </w:t>
      </w:r>
      <w:r w:rsidR="00362416">
        <w:rPr>
          <w:rFonts w:cstheme="minorHAnsi"/>
        </w:rPr>
        <w:t xml:space="preserve">l’effettuazione dei </w:t>
      </w:r>
      <w:r w:rsidR="00522E81" w:rsidRPr="00362416">
        <w:rPr>
          <w:rFonts w:cstheme="minorHAnsi"/>
        </w:rPr>
        <w:t xml:space="preserve">tamponi per </w:t>
      </w:r>
      <w:r w:rsidR="00362416" w:rsidRPr="00362416">
        <w:rPr>
          <w:rFonts w:cstheme="minorHAnsi"/>
        </w:rPr>
        <w:t xml:space="preserve">la </w:t>
      </w:r>
      <w:r w:rsidR="00522E81" w:rsidRPr="00362416">
        <w:rPr>
          <w:rFonts w:cstheme="minorHAnsi"/>
        </w:rPr>
        <w:t xml:space="preserve">definizione </w:t>
      </w:r>
      <w:r w:rsidR="00522E81" w:rsidRPr="000F7706">
        <w:rPr>
          <w:rFonts w:cstheme="minorHAnsi"/>
        </w:rPr>
        <w:t>della guarigione (</w:t>
      </w:r>
      <w:r w:rsidR="00362416" w:rsidRPr="000F7706">
        <w:rPr>
          <w:rFonts w:cstheme="minorHAnsi"/>
        </w:rPr>
        <w:t>eventuale</w:t>
      </w:r>
      <w:r w:rsidR="00522E81" w:rsidRPr="000F7706">
        <w:rPr>
          <w:rFonts w:cstheme="minorHAnsi"/>
        </w:rPr>
        <w:t xml:space="preserve"> attivazione SISP</w:t>
      </w:r>
      <w:r w:rsidR="00362416" w:rsidRPr="000F7706">
        <w:rPr>
          <w:rFonts w:cstheme="minorHAnsi"/>
        </w:rPr>
        <w:t>, da concordare di volta in volta</w:t>
      </w:r>
      <w:r w:rsidR="00522E81" w:rsidRPr="000F7706">
        <w:rPr>
          <w:rFonts w:cstheme="minorHAnsi"/>
        </w:rPr>
        <w:t>)</w:t>
      </w:r>
      <w:r w:rsidRPr="000F7706">
        <w:rPr>
          <w:rFonts w:cstheme="minorHAnsi"/>
        </w:rPr>
        <w:t xml:space="preserve"> </w:t>
      </w:r>
      <w:r w:rsidR="000F7706" w:rsidRPr="000F7706">
        <w:rPr>
          <w:rFonts w:cstheme="minorHAnsi"/>
        </w:rPr>
        <w:t xml:space="preserve">e il </w:t>
      </w:r>
      <w:r w:rsidRPr="000F7706">
        <w:rPr>
          <w:rFonts w:cstheme="minorHAnsi"/>
        </w:rPr>
        <w:t>rilascio documentazione</w:t>
      </w:r>
      <w:r w:rsidRPr="009939C6">
        <w:rPr>
          <w:rFonts w:cstheme="minorHAnsi"/>
        </w:rPr>
        <w:t xml:space="preserve"> clinica.</w:t>
      </w:r>
    </w:p>
    <w:p w14:paraId="49B7C23F" w14:textId="77777777" w:rsidR="00187566" w:rsidRPr="009939C6" w:rsidRDefault="00292305" w:rsidP="000F7706">
      <w:pPr>
        <w:spacing w:before="240" w:line="276" w:lineRule="auto"/>
        <w:jc w:val="both"/>
        <w:rPr>
          <w:rFonts w:cstheme="minorHAnsi"/>
        </w:rPr>
      </w:pPr>
      <w:r w:rsidRPr="009939C6">
        <w:rPr>
          <w:rFonts w:cstheme="minorHAnsi"/>
          <w:b/>
          <w:bCs/>
        </w:rPr>
        <w:t>4</w:t>
      </w:r>
      <w:r w:rsidR="00DB21A4" w:rsidRPr="009939C6">
        <w:rPr>
          <w:rFonts w:cstheme="minorHAnsi"/>
          <w:b/>
          <w:bCs/>
        </w:rPr>
        <w:t>.</w:t>
      </w:r>
      <w:r w:rsidR="00DB21A4" w:rsidRPr="009939C6">
        <w:rPr>
          <w:rFonts w:cstheme="minorHAnsi"/>
          <w:b/>
          <w:bCs/>
          <w:u w:val="single"/>
        </w:rPr>
        <w:t xml:space="preserve"> </w:t>
      </w:r>
      <w:r w:rsidR="00D36D0B" w:rsidRPr="009939C6">
        <w:rPr>
          <w:rFonts w:cstheme="minorHAnsi"/>
          <w:b/>
          <w:bCs/>
          <w:u w:val="single"/>
        </w:rPr>
        <w:t>Gestione dei pazienti Covid-19 positivi dimessi a domicilio dai reparti ospedalieri</w:t>
      </w:r>
      <w:r w:rsidR="0034627E" w:rsidRPr="009939C6">
        <w:rPr>
          <w:rFonts w:cstheme="minorHAnsi"/>
        </w:rPr>
        <w:t>.</w:t>
      </w:r>
    </w:p>
    <w:p w14:paraId="29A3CFAB" w14:textId="77777777" w:rsidR="00D36D0B" w:rsidRPr="009939C6" w:rsidRDefault="0034627E" w:rsidP="000F7706">
      <w:pPr>
        <w:spacing w:before="240" w:line="276" w:lineRule="auto"/>
        <w:jc w:val="both"/>
        <w:rPr>
          <w:rFonts w:cstheme="minorHAnsi"/>
        </w:rPr>
      </w:pPr>
      <w:r w:rsidRPr="009939C6">
        <w:rPr>
          <w:rFonts w:cstheme="minorHAnsi"/>
        </w:rPr>
        <w:t>Il MMG si occup</w:t>
      </w:r>
      <w:r w:rsidR="00187566" w:rsidRPr="009939C6">
        <w:rPr>
          <w:rFonts w:cstheme="minorHAnsi"/>
        </w:rPr>
        <w:t>a</w:t>
      </w:r>
      <w:r w:rsidR="00B61EA6" w:rsidRPr="009939C6">
        <w:rPr>
          <w:rFonts w:cstheme="minorHAnsi"/>
        </w:rPr>
        <w:t xml:space="preserve"> di attivare l’USCA</w:t>
      </w:r>
      <w:r w:rsidRPr="009939C6">
        <w:rPr>
          <w:rFonts w:cstheme="minorHAnsi"/>
        </w:rPr>
        <w:t xml:space="preserve"> per prosecuzione delle cure.</w:t>
      </w:r>
    </w:p>
    <w:p w14:paraId="0C62925D" w14:textId="77777777" w:rsidR="00187566" w:rsidRPr="009939C6" w:rsidRDefault="00B61EA6" w:rsidP="000F7706">
      <w:pPr>
        <w:spacing w:before="240" w:line="276" w:lineRule="auto"/>
        <w:jc w:val="both"/>
        <w:rPr>
          <w:rFonts w:cstheme="minorHAnsi"/>
        </w:rPr>
      </w:pPr>
      <w:r w:rsidRPr="009939C6">
        <w:rPr>
          <w:rFonts w:cstheme="minorHAnsi"/>
        </w:rPr>
        <w:t>Compiti del medico dell’USCA</w:t>
      </w:r>
      <w:r w:rsidR="00187566" w:rsidRPr="009939C6">
        <w:rPr>
          <w:rFonts w:cstheme="minorHAnsi"/>
        </w:rPr>
        <w:t>:</w:t>
      </w:r>
    </w:p>
    <w:p w14:paraId="3C95B8F3" w14:textId="77777777" w:rsidR="00CC52AC" w:rsidRPr="009939C6" w:rsidRDefault="00D36D0B" w:rsidP="000F7706">
      <w:pPr>
        <w:pStyle w:val="Paragrafoelenco"/>
        <w:numPr>
          <w:ilvl w:val="0"/>
          <w:numId w:val="3"/>
        </w:numPr>
        <w:spacing w:before="240" w:line="276" w:lineRule="auto"/>
        <w:jc w:val="both"/>
        <w:rPr>
          <w:rFonts w:cstheme="minorHAnsi"/>
        </w:rPr>
      </w:pPr>
      <w:r w:rsidRPr="009939C6">
        <w:rPr>
          <w:rFonts w:cstheme="minorHAnsi"/>
        </w:rPr>
        <w:t xml:space="preserve">Monitoraggio clinico </w:t>
      </w:r>
      <w:r w:rsidR="00187566" w:rsidRPr="009939C6">
        <w:rPr>
          <w:rFonts w:cstheme="minorHAnsi"/>
        </w:rPr>
        <w:t>con almeno una visita a domicilio e poi in base a necessità (</w:t>
      </w:r>
      <w:r w:rsidRPr="009939C6">
        <w:rPr>
          <w:rFonts w:cstheme="minorHAnsi"/>
        </w:rPr>
        <w:t xml:space="preserve">sintomatologia e </w:t>
      </w:r>
      <w:proofErr w:type="spellStart"/>
      <w:r w:rsidRPr="009939C6">
        <w:rPr>
          <w:rFonts w:cstheme="minorHAnsi"/>
        </w:rPr>
        <w:t>saturimetria</w:t>
      </w:r>
      <w:proofErr w:type="spellEnd"/>
      <w:r w:rsidR="00187566" w:rsidRPr="009939C6">
        <w:rPr>
          <w:rFonts w:cstheme="minorHAnsi"/>
        </w:rPr>
        <w:t>)</w:t>
      </w:r>
      <w:r w:rsidR="00CC52AC" w:rsidRPr="009939C6">
        <w:rPr>
          <w:rFonts w:cstheme="minorHAnsi"/>
        </w:rPr>
        <w:t>.</w:t>
      </w:r>
      <w:r w:rsidR="00723850" w:rsidRPr="009939C6">
        <w:rPr>
          <w:rFonts w:cstheme="minorHAnsi"/>
        </w:rPr>
        <w:t xml:space="preserve"> Ricordiamo anche la necessità di supporto psicologico per il forte senso di abba</w:t>
      </w:r>
      <w:r w:rsidR="00B61EA6" w:rsidRPr="009939C6">
        <w:rPr>
          <w:rFonts w:cstheme="minorHAnsi"/>
        </w:rPr>
        <w:t>ndono, che vive il pz Covid-19 (vedi n. utili di supporto psicologico ASL CN1).</w:t>
      </w:r>
    </w:p>
    <w:p w14:paraId="56E520D6" w14:textId="77777777" w:rsidR="00D36D0B" w:rsidRPr="000F7706" w:rsidRDefault="00D36D0B" w:rsidP="000F7706">
      <w:pPr>
        <w:pStyle w:val="Paragrafoelenco"/>
        <w:numPr>
          <w:ilvl w:val="0"/>
          <w:numId w:val="3"/>
        </w:numPr>
        <w:spacing w:before="240" w:line="276" w:lineRule="auto"/>
        <w:jc w:val="both"/>
        <w:rPr>
          <w:rFonts w:cstheme="minorHAnsi"/>
        </w:rPr>
      </w:pPr>
      <w:r w:rsidRPr="009939C6">
        <w:rPr>
          <w:rFonts w:cstheme="minorHAnsi"/>
        </w:rPr>
        <w:t xml:space="preserve">Prosecuzione, </w:t>
      </w:r>
      <w:r w:rsidRPr="000F7706">
        <w:rPr>
          <w:rFonts w:cstheme="minorHAnsi"/>
        </w:rPr>
        <w:t>secondo indicazioni ospedaliere, della terapia con EBPM</w:t>
      </w:r>
      <w:r w:rsidR="00187566" w:rsidRPr="000F7706">
        <w:rPr>
          <w:rFonts w:cstheme="minorHAnsi"/>
        </w:rPr>
        <w:t xml:space="preserve"> (con possibilità di formazione del paziente per autosomministrazione)</w:t>
      </w:r>
      <w:r w:rsidR="001018D2" w:rsidRPr="000F7706">
        <w:rPr>
          <w:rFonts w:cstheme="minorHAnsi"/>
        </w:rPr>
        <w:t>, e comunque fino a risoluzione completa del quadro clinico</w:t>
      </w:r>
      <w:r w:rsidR="00CC52AC" w:rsidRPr="000F7706">
        <w:rPr>
          <w:rFonts w:cstheme="minorHAnsi"/>
        </w:rPr>
        <w:t>.</w:t>
      </w:r>
    </w:p>
    <w:p w14:paraId="2F29946D" w14:textId="77777777" w:rsidR="00635EFC" w:rsidRPr="000F7706" w:rsidRDefault="001018D2" w:rsidP="000F7706">
      <w:pPr>
        <w:pStyle w:val="Paragrafoelenco"/>
        <w:numPr>
          <w:ilvl w:val="0"/>
          <w:numId w:val="3"/>
        </w:numPr>
        <w:spacing w:before="240" w:line="276" w:lineRule="auto"/>
        <w:jc w:val="both"/>
        <w:rPr>
          <w:rFonts w:cstheme="minorHAnsi"/>
        </w:rPr>
      </w:pPr>
      <w:r w:rsidRPr="000F7706">
        <w:rPr>
          <w:rFonts w:cstheme="minorHAnsi"/>
        </w:rPr>
        <w:t>Definizione della guarigione</w:t>
      </w:r>
      <w:r w:rsidR="00452AF8" w:rsidRPr="000F7706">
        <w:rPr>
          <w:rFonts w:cstheme="minorHAnsi"/>
        </w:rPr>
        <w:t>, definita da due tamponi negativi eseguiti a 24</w:t>
      </w:r>
      <w:r w:rsidR="00162947" w:rsidRPr="000F7706">
        <w:rPr>
          <w:rFonts w:cstheme="minorHAnsi"/>
        </w:rPr>
        <w:t xml:space="preserve"> h di distanza l’uno dall’altro</w:t>
      </w:r>
      <w:r w:rsidR="00452AF8" w:rsidRPr="000F7706">
        <w:rPr>
          <w:rFonts w:cstheme="minorHAnsi"/>
        </w:rPr>
        <w:t xml:space="preserve"> </w:t>
      </w:r>
      <w:r w:rsidR="00362416" w:rsidRPr="000F7706">
        <w:rPr>
          <w:rFonts w:cstheme="minorHAnsi"/>
        </w:rPr>
        <w:t>(</w:t>
      </w:r>
      <w:r w:rsidR="00162947" w:rsidRPr="000F7706">
        <w:rPr>
          <w:rFonts w:cstheme="minorHAnsi"/>
        </w:rPr>
        <w:t xml:space="preserve">eseguiti dal medico dell’USCA o dal </w:t>
      </w:r>
      <w:r w:rsidR="00452AF8" w:rsidRPr="000F7706">
        <w:rPr>
          <w:rFonts w:cstheme="minorHAnsi"/>
        </w:rPr>
        <w:t>SISP</w:t>
      </w:r>
      <w:r w:rsidR="00362416" w:rsidRPr="000F7706">
        <w:rPr>
          <w:rFonts w:cstheme="minorHAnsi"/>
        </w:rPr>
        <w:t>, da concordare di volta in volta)</w:t>
      </w:r>
      <w:r w:rsidR="00452AF8" w:rsidRPr="000F7706">
        <w:rPr>
          <w:rFonts w:cstheme="minorHAnsi"/>
        </w:rPr>
        <w:t>.</w:t>
      </w:r>
    </w:p>
    <w:sectPr w:rsidR="00635EFC" w:rsidRPr="000F7706" w:rsidSect="005932AF">
      <w:footerReference w:type="default" r:id="rId11"/>
      <w:headerReference w:type="first" r:id="rId12"/>
      <w:footerReference w:type="first" r:id="rId13"/>
      <w:pgSz w:w="11906" w:h="16838"/>
      <w:pgMar w:top="116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61D1" w14:textId="77777777" w:rsidR="008F5194" w:rsidRDefault="008F5194" w:rsidP="004C6718">
      <w:pPr>
        <w:spacing w:after="0" w:line="240" w:lineRule="auto"/>
      </w:pPr>
      <w:r>
        <w:separator/>
      </w:r>
    </w:p>
  </w:endnote>
  <w:endnote w:type="continuationSeparator" w:id="0">
    <w:p w14:paraId="652BA4E6" w14:textId="77777777" w:rsidR="008F5194" w:rsidRDefault="008F5194" w:rsidP="004C6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902135"/>
      <w:docPartObj>
        <w:docPartGallery w:val="Page Numbers (Bottom of Page)"/>
        <w:docPartUnique/>
      </w:docPartObj>
    </w:sdtPr>
    <w:sdtEndPr/>
    <w:sdtContent>
      <w:p w14:paraId="548BBA57" w14:textId="77777777" w:rsidR="004C6718" w:rsidRDefault="00653D1F">
        <w:pPr>
          <w:pStyle w:val="Pidipagina"/>
          <w:jc w:val="right"/>
        </w:pPr>
        <w:r>
          <w:fldChar w:fldCharType="begin"/>
        </w:r>
        <w:r w:rsidR="004C6718">
          <w:instrText>PAGE   \* MERGEFORMAT</w:instrText>
        </w:r>
        <w:r>
          <w:fldChar w:fldCharType="separate"/>
        </w:r>
        <w:r w:rsidR="00312BAB">
          <w:rPr>
            <w:noProof/>
          </w:rPr>
          <w:t>4</w:t>
        </w:r>
        <w:r>
          <w:fldChar w:fldCharType="end"/>
        </w:r>
      </w:p>
    </w:sdtContent>
  </w:sdt>
  <w:p w14:paraId="0F788123" w14:textId="77777777" w:rsidR="004C6718" w:rsidRDefault="00312BAB">
    <w:pPr>
      <w:pStyle w:val="Pidipagina"/>
    </w:pPr>
    <w:r w:rsidRPr="00312BAB">
      <w:rPr>
        <w:noProof/>
      </w:rPr>
      <w:drawing>
        <wp:anchor distT="0" distB="0" distL="114300" distR="114300" simplePos="0" relativeHeight="251665408" behindDoc="1" locked="0" layoutInCell="1" allowOverlap="1" wp14:anchorId="039D5DC4" wp14:editId="4722D995">
          <wp:simplePos x="0" y="0"/>
          <wp:positionH relativeFrom="column">
            <wp:posOffset>-272415</wp:posOffset>
          </wp:positionH>
          <wp:positionV relativeFrom="paragraph">
            <wp:posOffset>-89535</wp:posOffset>
          </wp:positionV>
          <wp:extent cx="7258050" cy="857250"/>
          <wp:effectExtent l="19050" t="0" r="0" b="0"/>
          <wp:wrapTight wrapText="bothSides">
            <wp:wrapPolygon edited="0">
              <wp:start x="-57" y="0"/>
              <wp:lineTo x="-57" y="21027"/>
              <wp:lineTo x="21589" y="21027"/>
              <wp:lineTo x="21589" y="0"/>
              <wp:lineTo x="-57" y="0"/>
            </wp:wrapPolygon>
          </wp:wrapTight>
          <wp:docPr id="1" name="Immagine 1" descr="pi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e"/>
                  <pic:cNvPicPr>
                    <a:picLocks noChangeAspect="1" noChangeArrowheads="1"/>
                  </pic:cNvPicPr>
                </pic:nvPicPr>
                <pic:blipFill>
                  <a:blip r:embed="rId1"/>
                  <a:srcRect/>
                  <a:stretch>
                    <a:fillRect/>
                  </a:stretch>
                </pic:blipFill>
                <pic:spPr bwMode="auto">
                  <a:xfrm>
                    <a:off x="0" y="0"/>
                    <a:ext cx="7261860" cy="86106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4C55" w14:textId="77777777" w:rsidR="005932AF" w:rsidRDefault="005932AF">
    <w:pPr>
      <w:pStyle w:val="Pidipagina"/>
    </w:pPr>
    <w:r w:rsidRPr="005932AF">
      <w:rPr>
        <w:noProof/>
        <w:lang w:eastAsia="it-IT"/>
      </w:rPr>
      <w:drawing>
        <wp:anchor distT="0" distB="0" distL="114300" distR="114300" simplePos="0" relativeHeight="251661312" behindDoc="1" locked="0" layoutInCell="1" allowOverlap="1" wp14:anchorId="518CB052" wp14:editId="1D551B6C">
          <wp:simplePos x="0" y="0"/>
          <wp:positionH relativeFrom="column">
            <wp:posOffset>-424815</wp:posOffset>
          </wp:positionH>
          <wp:positionV relativeFrom="paragraph">
            <wp:posOffset>-241935</wp:posOffset>
          </wp:positionV>
          <wp:extent cx="7258050" cy="857250"/>
          <wp:effectExtent l="19050" t="0" r="0" b="0"/>
          <wp:wrapTight wrapText="bothSides">
            <wp:wrapPolygon edited="0">
              <wp:start x="-57" y="0"/>
              <wp:lineTo x="-57" y="21027"/>
              <wp:lineTo x="21589" y="21027"/>
              <wp:lineTo x="21589" y="0"/>
              <wp:lineTo x="-57" y="0"/>
            </wp:wrapPolygon>
          </wp:wrapTight>
          <wp:docPr id="3" name="Immagine 1" descr="pi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e"/>
                  <pic:cNvPicPr>
                    <a:picLocks noChangeAspect="1" noChangeArrowheads="1"/>
                  </pic:cNvPicPr>
                </pic:nvPicPr>
                <pic:blipFill>
                  <a:blip r:embed="rId1"/>
                  <a:srcRect/>
                  <a:stretch>
                    <a:fillRect/>
                  </a:stretch>
                </pic:blipFill>
                <pic:spPr bwMode="auto">
                  <a:xfrm>
                    <a:off x="0" y="0"/>
                    <a:ext cx="7261860" cy="8610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E7D8F" w14:textId="77777777" w:rsidR="008F5194" w:rsidRDefault="008F5194" w:rsidP="004C6718">
      <w:pPr>
        <w:spacing w:after="0" w:line="240" w:lineRule="auto"/>
      </w:pPr>
      <w:r>
        <w:separator/>
      </w:r>
    </w:p>
  </w:footnote>
  <w:footnote w:type="continuationSeparator" w:id="0">
    <w:p w14:paraId="7F1E32AD" w14:textId="77777777" w:rsidR="008F5194" w:rsidRDefault="008F5194" w:rsidP="004C6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7452" w14:textId="77777777" w:rsidR="005932AF" w:rsidRDefault="005932AF">
    <w:pPr>
      <w:pStyle w:val="Intestazione"/>
    </w:pPr>
    <w:r w:rsidRPr="005932AF">
      <w:rPr>
        <w:noProof/>
        <w:lang w:eastAsia="it-IT"/>
      </w:rPr>
      <w:drawing>
        <wp:anchor distT="0" distB="0" distL="114300" distR="114300" simplePos="0" relativeHeight="251663360" behindDoc="1" locked="0" layoutInCell="1" allowOverlap="1" wp14:anchorId="1F01F782" wp14:editId="2980E98E">
          <wp:simplePos x="0" y="0"/>
          <wp:positionH relativeFrom="column">
            <wp:posOffset>-281940</wp:posOffset>
          </wp:positionH>
          <wp:positionV relativeFrom="paragraph">
            <wp:posOffset>-287655</wp:posOffset>
          </wp:positionV>
          <wp:extent cx="6819900" cy="762000"/>
          <wp:effectExtent l="19050" t="0" r="0" b="0"/>
          <wp:wrapTight wrapText="bothSides">
            <wp:wrapPolygon edited="0">
              <wp:start x="-60" y="0"/>
              <wp:lineTo x="-60" y="21060"/>
              <wp:lineTo x="21600" y="21060"/>
              <wp:lineTo x="21600" y="0"/>
              <wp:lineTo x="-60" y="0"/>
            </wp:wrapPolygon>
          </wp:wrapTight>
          <wp:docPr id="4" name="Immagine 2" descr="carta_intestata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_intestata_2016"/>
                  <pic:cNvPicPr>
                    <a:picLocks noChangeAspect="1" noChangeArrowheads="1"/>
                  </pic:cNvPicPr>
                </pic:nvPicPr>
                <pic:blipFill>
                  <a:blip r:embed="rId1"/>
                  <a:srcRect/>
                  <a:stretch>
                    <a:fillRect/>
                  </a:stretch>
                </pic:blipFill>
                <pic:spPr bwMode="auto">
                  <a:xfrm>
                    <a:off x="0" y="0"/>
                    <a:ext cx="6819900" cy="762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4C1"/>
      </v:shape>
    </w:pict>
  </w:numPicBullet>
  <w:abstractNum w:abstractNumId="0" w15:restartNumberingAfterBreak="0">
    <w:nsid w:val="08393337"/>
    <w:multiLevelType w:val="hybridMultilevel"/>
    <w:tmpl w:val="3B162008"/>
    <w:lvl w:ilvl="0" w:tplc="640CA1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2C4806"/>
    <w:multiLevelType w:val="hybridMultilevel"/>
    <w:tmpl w:val="7F8805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8050B6"/>
    <w:multiLevelType w:val="hybridMultilevel"/>
    <w:tmpl w:val="C5A282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D6B6C"/>
    <w:multiLevelType w:val="hybridMultilevel"/>
    <w:tmpl w:val="3816FC52"/>
    <w:lvl w:ilvl="0" w:tplc="783404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20A9F"/>
    <w:multiLevelType w:val="hybridMultilevel"/>
    <w:tmpl w:val="746AAB2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C14632"/>
    <w:multiLevelType w:val="hybridMultilevel"/>
    <w:tmpl w:val="3C40BB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5F6CCE"/>
    <w:multiLevelType w:val="hybridMultilevel"/>
    <w:tmpl w:val="ADBC93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293A59"/>
    <w:multiLevelType w:val="hybridMultilevel"/>
    <w:tmpl w:val="A08E18A4"/>
    <w:lvl w:ilvl="0" w:tplc="3DBEFF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3F8622B"/>
    <w:multiLevelType w:val="hybridMultilevel"/>
    <w:tmpl w:val="BB32FDA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6341A45"/>
    <w:multiLevelType w:val="hybridMultilevel"/>
    <w:tmpl w:val="94A025D0"/>
    <w:lvl w:ilvl="0" w:tplc="32344DE4">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D7331E1"/>
    <w:multiLevelType w:val="hybridMultilevel"/>
    <w:tmpl w:val="24485F56"/>
    <w:lvl w:ilvl="0" w:tplc="04100019">
      <w:start w:val="1"/>
      <w:numFmt w:val="lowerLetter"/>
      <w:lvlText w:val="%1."/>
      <w:lvlJc w:val="left"/>
      <w:pPr>
        <w:ind w:left="720" w:hanging="360"/>
      </w:pPr>
      <w:rPr>
        <w:rFonts w:hint="default"/>
      </w:rPr>
    </w:lvl>
    <w:lvl w:ilvl="1" w:tplc="C0DA1ACE">
      <w:start w:val="1"/>
      <w:numFmt w:val="bullet"/>
      <w:lvlText w:val=""/>
      <w:lvlJc w:val="left"/>
      <w:pPr>
        <w:ind w:left="1440" w:hanging="360"/>
      </w:pPr>
      <w:rPr>
        <w:rFonts w:ascii="Symbol" w:hAnsi="Symbol" w:hint="default"/>
      </w:rPr>
    </w:lvl>
    <w:lvl w:ilvl="2" w:tplc="32344DE4">
      <w:numFmt w:val="bullet"/>
      <w:lvlText w:val="-"/>
      <w:lvlJc w:val="left"/>
      <w:pPr>
        <w:ind w:left="2160" w:hanging="180"/>
      </w:pPr>
      <w:rPr>
        <w:rFonts w:ascii="Calibri" w:eastAsiaTheme="minorHAnsi"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3"/>
  </w:num>
  <w:num w:numId="5">
    <w:abstractNumId w:val="0"/>
  </w:num>
  <w:num w:numId="6">
    <w:abstractNumId w:val="9"/>
  </w:num>
  <w:num w:numId="7">
    <w:abstractNumId w:val="2"/>
  </w:num>
  <w:num w:numId="8">
    <w:abstractNumId w:val="4"/>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8A"/>
    <w:rsid w:val="000412FC"/>
    <w:rsid w:val="000F7706"/>
    <w:rsid w:val="001018D2"/>
    <w:rsid w:val="00113DF4"/>
    <w:rsid w:val="001171F4"/>
    <w:rsid w:val="00162947"/>
    <w:rsid w:val="00187566"/>
    <w:rsid w:val="001C075D"/>
    <w:rsid w:val="001D41E6"/>
    <w:rsid w:val="001E4749"/>
    <w:rsid w:val="001E6FC8"/>
    <w:rsid w:val="00214511"/>
    <w:rsid w:val="0023007E"/>
    <w:rsid w:val="00230A5E"/>
    <w:rsid w:val="00241F8F"/>
    <w:rsid w:val="002522D1"/>
    <w:rsid w:val="00254893"/>
    <w:rsid w:val="0025588F"/>
    <w:rsid w:val="00261DD6"/>
    <w:rsid w:val="00292305"/>
    <w:rsid w:val="002D10B2"/>
    <w:rsid w:val="00311F82"/>
    <w:rsid w:val="00312BAB"/>
    <w:rsid w:val="0034627E"/>
    <w:rsid w:val="00351371"/>
    <w:rsid w:val="00355C05"/>
    <w:rsid w:val="00362416"/>
    <w:rsid w:val="003B6B97"/>
    <w:rsid w:val="00401FF7"/>
    <w:rsid w:val="00413961"/>
    <w:rsid w:val="004262D2"/>
    <w:rsid w:val="00435CC0"/>
    <w:rsid w:val="00452AF8"/>
    <w:rsid w:val="00483403"/>
    <w:rsid w:val="004A24CB"/>
    <w:rsid w:val="004C11C6"/>
    <w:rsid w:val="004C4A04"/>
    <w:rsid w:val="004C6718"/>
    <w:rsid w:val="004D5236"/>
    <w:rsid w:val="004E2BED"/>
    <w:rsid w:val="005115E6"/>
    <w:rsid w:val="00522E81"/>
    <w:rsid w:val="00525A61"/>
    <w:rsid w:val="00540600"/>
    <w:rsid w:val="00540E29"/>
    <w:rsid w:val="00555DF1"/>
    <w:rsid w:val="00580BDC"/>
    <w:rsid w:val="005932AF"/>
    <w:rsid w:val="005C489A"/>
    <w:rsid w:val="005D2C26"/>
    <w:rsid w:val="005D570F"/>
    <w:rsid w:val="005F374E"/>
    <w:rsid w:val="00621481"/>
    <w:rsid w:val="00632150"/>
    <w:rsid w:val="00635EFC"/>
    <w:rsid w:val="00653D1F"/>
    <w:rsid w:val="00655DE0"/>
    <w:rsid w:val="00657685"/>
    <w:rsid w:val="0067024A"/>
    <w:rsid w:val="006B76B7"/>
    <w:rsid w:val="00712DF9"/>
    <w:rsid w:val="00723850"/>
    <w:rsid w:val="007362F5"/>
    <w:rsid w:val="00795529"/>
    <w:rsid w:val="007B1C66"/>
    <w:rsid w:val="007B7EF6"/>
    <w:rsid w:val="007E2A70"/>
    <w:rsid w:val="00803D8A"/>
    <w:rsid w:val="00812399"/>
    <w:rsid w:val="0082608B"/>
    <w:rsid w:val="00860A04"/>
    <w:rsid w:val="00880692"/>
    <w:rsid w:val="008A7361"/>
    <w:rsid w:val="008B1368"/>
    <w:rsid w:val="008B412F"/>
    <w:rsid w:val="008D469D"/>
    <w:rsid w:val="008F5194"/>
    <w:rsid w:val="00913D2F"/>
    <w:rsid w:val="00944F2E"/>
    <w:rsid w:val="00967226"/>
    <w:rsid w:val="009939C6"/>
    <w:rsid w:val="009E5102"/>
    <w:rsid w:val="009E6AC2"/>
    <w:rsid w:val="009F7B99"/>
    <w:rsid w:val="00A01131"/>
    <w:rsid w:val="00A12DFA"/>
    <w:rsid w:val="00A6272F"/>
    <w:rsid w:val="00A94AB3"/>
    <w:rsid w:val="00A95B4D"/>
    <w:rsid w:val="00AD3FD2"/>
    <w:rsid w:val="00B61EA6"/>
    <w:rsid w:val="00B77B34"/>
    <w:rsid w:val="00B82ED3"/>
    <w:rsid w:val="00BA4AB5"/>
    <w:rsid w:val="00BA7DF3"/>
    <w:rsid w:val="00BD3CD9"/>
    <w:rsid w:val="00C03FAE"/>
    <w:rsid w:val="00C228A6"/>
    <w:rsid w:val="00C24699"/>
    <w:rsid w:val="00C767D1"/>
    <w:rsid w:val="00CB4D8C"/>
    <w:rsid w:val="00CC52AC"/>
    <w:rsid w:val="00CD447A"/>
    <w:rsid w:val="00D05FF2"/>
    <w:rsid w:val="00D164D5"/>
    <w:rsid w:val="00D36D0B"/>
    <w:rsid w:val="00D77CE9"/>
    <w:rsid w:val="00DB21A4"/>
    <w:rsid w:val="00DF7B16"/>
    <w:rsid w:val="00E1346D"/>
    <w:rsid w:val="00E2499B"/>
    <w:rsid w:val="00E8350B"/>
    <w:rsid w:val="00EA6B62"/>
    <w:rsid w:val="00EB27DE"/>
    <w:rsid w:val="00EB6F02"/>
    <w:rsid w:val="00F8739F"/>
    <w:rsid w:val="00FA02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8D7EA"/>
  <w15:docId w15:val="{ACD61B95-DBEF-4F90-A6AD-3B58ADB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24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2399"/>
    <w:pPr>
      <w:ind w:left="720"/>
      <w:contextualSpacing/>
    </w:pPr>
  </w:style>
  <w:style w:type="character" w:styleId="Rimandocommento">
    <w:name w:val="annotation reference"/>
    <w:basedOn w:val="Carpredefinitoparagrafo"/>
    <w:uiPriority w:val="99"/>
    <w:semiHidden/>
    <w:unhideWhenUsed/>
    <w:rsid w:val="00435CC0"/>
    <w:rPr>
      <w:sz w:val="16"/>
      <w:szCs w:val="16"/>
    </w:rPr>
  </w:style>
  <w:style w:type="paragraph" w:styleId="Testocommento">
    <w:name w:val="annotation text"/>
    <w:basedOn w:val="Normale"/>
    <w:link w:val="TestocommentoCarattere"/>
    <w:uiPriority w:val="99"/>
    <w:semiHidden/>
    <w:unhideWhenUsed/>
    <w:rsid w:val="00435CC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35CC0"/>
    <w:rPr>
      <w:sz w:val="20"/>
      <w:szCs w:val="20"/>
    </w:rPr>
  </w:style>
  <w:style w:type="paragraph" w:styleId="Soggettocommento">
    <w:name w:val="annotation subject"/>
    <w:basedOn w:val="Testocommento"/>
    <w:next w:val="Testocommento"/>
    <w:link w:val="SoggettocommentoCarattere"/>
    <w:uiPriority w:val="99"/>
    <w:semiHidden/>
    <w:unhideWhenUsed/>
    <w:rsid w:val="00435CC0"/>
    <w:rPr>
      <w:b/>
      <w:bCs/>
    </w:rPr>
  </w:style>
  <w:style w:type="character" w:customStyle="1" w:styleId="SoggettocommentoCarattere">
    <w:name w:val="Soggetto commento Carattere"/>
    <w:basedOn w:val="TestocommentoCarattere"/>
    <w:link w:val="Soggettocommento"/>
    <w:uiPriority w:val="99"/>
    <w:semiHidden/>
    <w:rsid w:val="00435CC0"/>
    <w:rPr>
      <w:b/>
      <w:bCs/>
      <w:sz w:val="20"/>
      <w:szCs w:val="20"/>
    </w:rPr>
  </w:style>
  <w:style w:type="paragraph" w:styleId="Testofumetto">
    <w:name w:val="Balloon Text"/>
    <w:basedOn w:val="Normale"/>
    <w:link w:val="TestofumettoCarattere"/>
    <w:uiPriority w:val="99"/>
    <w:semiHidden/>
    <w:unhideWhenUsed/>
    <w:rsid w:val="00435C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5CC0"/>
    <w:rPr>
      <w:rFonts w:ascii="Segoe UI" w:hAnsi="Segoe UI" w:cs="Segoe UI"/>
      <w:sz w:val="18"/>
      <w:szCs w:val="18"/>
    </w:rPr>
  </w:style>
  <w:style w:type="paragraph" w:styleId="Intestazione">
    <w:name w:val="header"/>
    <w:basedOn w:val="Normale"/>
    <w:link w:val="IntestazioneCarattere"/>
    <w:uiPriority w:val="99"/>
    <w:unhideWhenUsed/>
    <w:rsid w:val="004C67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6718"/>
  </w:style>
  <w:style w:type="paragraph" w:styleId="Pidipagina">
    <w:name w:val="footer"/>
    <w:basedOn w:val="Normale"/>
    <w:link w:val="PidipaginaCarattere"/>
    <w:uiPriority w:val="99"/>
    <w:unhideWhenUsed/>
    <w:rsid w:val="004C67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6718"/>
  </w:style>
  <w:style w:type="character" w:styleId="Collegamentoipertestuale">
    <w:name w:val="Hyperlink"/>
    <w:basedOn w:val="Carpredefinitoparagrafo"/>
    <w:uiPriority w:val="99"/>
    <w:unhideWhenUsed/>
    <w:rsid w:val="00967226"/>
    <w:rPr>
      <w:color w:val="0563C1" w:themeColor="hyperlink"/>
      <w:u w:val="single"/>
    </w:rPr>
  </w:style>
  <w:style w:type="character" w:customStyle="1" w:styleId="Menzionenonrisolta1">
    <w:name w:val="Menzione non risolta1"/>
    <w:basedOn w:val="Carpredefinitoparagrafo"/>
    <w:uiPriority w:val="99"/>
    <w:semiHidden/>
    <w:unhideWhenUsed/>
    <w:rsid w:val="0096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anordest@aslcn1.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asudovest@aslcn1.it" TargetMode="External"/><Relationship Id="rId4" Type="http://schemas.openxmlformats.org/officeDocument/2006/relationships/settings" Target="settings.xml"/><Relationship Id="rId9" Type="http://schemas.openxmlformats.org/officeDocument/2006/relationships/hyperlink" Target="mailto:uscanordovest@aslcn1.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A769-A0BA-4914-9E15-B3B1CCC3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Gili</dc:creator>
  <cp:lastModifiedBy>Andrea</cp:lastModifiedBy>
  <cp:revision>2</cp:revision>
  <dcterms:created xsi:type="dcterms:W3CDTF">2020-04-19T17:14:00Z</dcterms:created>
  <dcterms:modified xsi:type="dcterms:W3CDTF">2020-04-19T17:14:00Z</dcterms:modified>
</cp:coreProperties>
</file>